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28D11" w14:textId="77777777" w:rsidR="00C56151" w:rsidRPr="001F5941" w:rsidRDefault="00C56151" w:rsidP="00466D85">
      <w:pPr>
        <w:rPr>
          <w:b/>
          <w:bCs/>
        </w:rPr>
      </w:pPr>
    </w:p>
    <w:p w14:paraId="7B0F9E05" w14:textId="2D4A4A76" w:rsidR="004B30E4" w:rsidRDefault="003C251D" w:rsidP="006875FA">
      <w:pPr>
        <w:jc w:val="center"/>
        <w:rPr>
          <w:b/>
          <w:bCs/>
          <w:sz w:val="24"/>
          <w:szCs w:val="24"/>
        </w:rPr>
      </w:pPr>
      <w:r w:rsidRPr="001F5941">
        <w:rPr>
          <w:b/>
          <w:bCs/>
          <w:sz w:val="24"/>
          <w:szCs w:val="24"/>
        </w:rPr>
        <w:t>Informatie aan (toekomstige) patiënten IQwise</w:t>
      </w:r>
      <w:r w:rsidR="006875FA">
        <w:rPr>
          <w:b/>
          <w:bCs/>
          <w:sz w:val="24"/>
          <w:szCs w:val="24"/>
        </w:rPr>
        <w:t xml:space="preserve"> (18+)</w:t>
      </w:r>
      <w:r w:rsidR="006875FA">
        <w:rPr>
          <w:b/>
          <w:bCs/>
          <w:sz w:val="24"/>
          <w:szCs w:val="24"/>
        </w:rPr>
        <w:br/>
      </w:r>
      <w:r w:rsidRPr="001F5941">
        <w:rPr>
          <w:b/>
          <w:bCs/>
          <w:sz w:val="24"/>
          <w:szCs w:val="24"/>
        </w:rPr>
        <w:t xml:space="preserve">betreffende </w:t>
      </w:r>
      <w:r w:rsidR="00033387" w:rsidRPr="001F5941">
        <w:rPr>
          <w:b/>
          <w:bCs/>
          <w:sz w:val="24"/>
          <w:szCs w:val="24"/>
        </w:rPr>
        <w:t xml:space="preserve">tarieven en </w:t>
      </w:r>
      <w:r w:rsidRPr="001F5941">
        <w:rPr>
          <w:b/>
          <w:bCs/>
          <w:sz w:val="24"/>
          <w:szCs w:val="24"/>
        </w:rPr>
        <w:t>restitutiepolissen</w:t>
      </w:r>
    </w:p>
    <w:p w14:paraId="0E50D528" w14:textId="1B4B9498" w:rsidR="00B0119E" w:rsidRPr="001F5941" w:rsidRDefault="006875FA" w:rsidP="00B0119E">
      <w:r>
        <w:br/>
      </w:r>
      <w:r w:rsidR="003C251D" w:rsidRPr="003C251D">
        <w:t>Middels deze e-mail inform</w:t>
      </w:r>
      <w:r w:rsidR="003C251D" w:rsidRPr="001F5941">
        <w:t>e</w:t>
      </w:r>
      <w:r w:rsidR="003C251D" w:rsidRPr="003C251D">
        <w:t xml:space="preserve">er ik je </w:t>
      </w:r>
      <w:r w:rsidR="003C251D" w:rsidRPr="001F5941">
        <w:t xml:space="preserve">ook dit jaar </w:t>
      </w:r>
      <w:r w:rsidR="003C251D" w:rsidRPr="003C251D">
        <w:t>over de vergoedingen en eisen die verzekeraars in de</w:t>
      </w:r>
      <w:r w:rsidR="003C251D" w:rsidRPr="001F5941">
        <w:t xml:space="preserve"> </w:t>
      </w:r>
      <w:r w:rsidR="003C251D" w:rsidRPr="003C251D">
        <w:t xml:space="preserve">polisvoorwaarden 2023 hebben opgenomen. Er zijn mogelijke financiële consequenties als gevolg van </w:t>
      </w:r>
      <w:r w:rsidR="00B0119E" w:rsidRPr="001F5941">
        <w:t>eventuele</w:t>
      </w:r>
      <w:r w:rsidR="003C251D" w:rsidRPr="003C251D">
        <w:t xml:space="preserve"> veranderingen in je</w:t>
      </w:r>
      <w:r w:rsidR="003C251D" w:rsidRPr="001F5941">
        <w:t xml:space="preserve"> </w:t>
      </w:r>
      <w:r w:rsidR="003C251D" w:rsidRPr="003C251D">
        <w:t>polis.</w:t>
      </w:r>
      <w:r w:rsidR="00B0119E" w:rsidRPr="001F5941">
        <w:t xml:space="preserve"> </w:t>
      </w:r>
      <w:r w:rsidR="00C912B1" w:rsidRPr="001F5941">
        <w:t xml:space="preserve">Zie </w:t>
      </w:r>
      <w:r w:rsidR="001F5941">
        <w:t xml:space="preserve">eventueel </w:t>
      </w:r>
      <w:r w:rsidR="00C912B1" w:rsidRPr="001F5941">
        <w:t xml:space="preserve">deze pagina van de Consumentenbond met een overzicht van de gehanteerde vergoedingen bij ongecontracteerde zorg in 2023: </w:t>
      </w:r>
      <w:hyperlink r:id="rId6" w:history="1">
        <w:r w:rsidR="00C912B1" w:rsidRPr="001F5941">
          <w:rPr>
            <w:rStyle w:val="Hyperlink"/>
          </w:rPr>
          <w:t xml:space="preserve">Vergoedingspercentage </w:t>
        </w:r>
        <w:r w:rsidR="00C912B1" w:rsidRPr="001F5941">
          <w:rPr>
            <w:rStyle w:val="Hyperlink"/>
          </w:rPr>
          <w:t>n</w:t>
        </w:r>
        <w:r w:rsidR="00C912B1" w:rsidRPr="001F5941">
          <w:rPr>
            <w:rStyle w:val="Hyperlink"/>
          </w:rPr>
          <w:t>iet-gecontracteerde zorg 2023 | Consumentenbond</w:t>
        </w:r>
      </w:hyperlink>
      <w:r w:rsidR="00C01034" w:rsidRPr="001F5941">
        <w:t xml:space="preserve">. </w:t>
      </w:r>
    </w:p>
    <w:p w14:paraId="306F21F6" w14:textId="5E8B1182" w:rsidR="00B0119E" w:rsidRPr="003C251D" w:rsidRDefault="00B0119E" w:rsidP="00B0119E">
      <w:r w:rsidRPr="003C251D">
        <w:t>Omdat ik contractvrij werk is het belangrijk dat je je (opnieuw) verdiept in de polisvoorwaarden van jouw zorgverzekering voor</w:t>
      </w:r>
      <w:r w:rsidRPr="001F5941">
        <w:t xml:space="preserve"> </w:t>
      </w:r>
      <w:r w:rsidRPr="003C251D">
        <w:t>2023. Check specifiek of de hoogte van de vergoedingen bij een contractvrij</w:t>
      </w:r>
      <w:r w:rsidRPr="001F5941">
        <w:t xml:space="preserve">e behandelaar in de GGZ </w:t>
      </w:r>
      <w:r w:rsidRPr="003C251D">
        <w:t>veranderen</w:t>
      </w:r>
      <w:r w:rsidRPr="001F5941">
        <w:t xml:space="preserve">, </w:t>
      </w:r>
      <w:r w:rsidRPr="001F5941">
        <w:t xml:space="preserve">bijvoorbeeld indien een restitutiepolis door je verzekering is vervangen </w:t>
      </w:r>
      <w:r w:rsidRPr="001F5941">
        <w:t>door</w:t>
      </w:r>
      <w:r w:rsidRPr="001F5941">
        <w:t xml:space="preserve"> een combinatiepolis.</w:t>
      </w:r>
      <w:r w:rsidR="0029630C" w:rsidRPr="001F5941">
        <w:t xml:space="preserve"> </w:t>
      </w:r>
      <w:r w:rsidR="001F5941">
        <w:t>Tevens is het advies om een schriftelijke bevestiging te vragen van de door de verzekeraar geleverde informatie en deze goed te bewaren.</w:t>
      </w:r>
      <w:r w:rsidR="00C01034" w:rsidRPr="001F5941">
        <w:br/>
      </w:r>
      <w:r w:rsidR="0029630C" w:rsidRPr="001F5941">
        <w:t xml:space="preserve">Lees eventueel ook over je rechten als patiënt in de position paper van de NZa over dit onderwerp op </w:t>
      </w:r>
      <w:hyperlink r:id="rId7" w:history="1">
        <w:r w:rsidR="0029630C" w:rsidRPr="001F5941">
          <w:rPr>
            <w:rStyle w:val="Hyperlink"/>
          </w:rPr>
          <w:t>Position-paper-NZa-t.b.v.-rondetafelgesprek-Vrije-Ar</w:t>
        </w:r>
        <w:r w:rsidR="0029630C" w:rsidRPr="001F5941">
          <w:rPr>
            <w:rStyle w:val="Hyperlink"/>
          </w:rPr>
          <w:t>t</w:t>
        </w:r>
        <w:r w:rsidR="0029630C" w:rsidRPr="001F5941">
          <w:rPr>
            <w:rStyle w:val="Hyperlink"/>
          </w:rPr>
          <w:t>senkeuze-d.d.-5-december-2022.pdf (lvvp.info)</w:t>
        </w:r>
      </w:hyperlink>
      <w:r w:rsidR="0029630C" w:rsidRPr="001F5941">
        <w:t>.</w:t>
      </w:r>
    </w:p>
    <w:p w14:paraId="076395CB" w14:textId="03C1B826" w:rsidR="00B0119E" w:rsidRPr="001F5941" w:rsidRDefault="00B0119E" w:rsidP="00B0119E">
      <w:r w:rsidRPr="001F5941">
        <w:t>Tot 31 december 2022 kun</w:t>
      </w:r>
      <w:r w:rsidRPr="001F5941">
        <w:t xml:space="preserve"> je</w:t>
      </w:r>
      <w:r w:rsidRPr="001F5941">
        <w:t xml:space="preserve"> ervoor kiezen om van zorgverzekeraar en type zorgverzekering te veranderen, om </w:t>
      </w:r>
      <w:r w:rsidRPr="001F5941">
        <w:t>je</w:t>
      </w:r>
      <w:r w:rsidRPr="001F5941">
        <w:t xml:space="preserve"> verzekering beter aan te laten sluiten bij </w:t>
      </w:r>
      <w:r w:rsidRPr="001F5941">
        <w:t>je</w:t>
      </w:r>
      <w:r w:rsidRPr="001F5941">
        <w:t xml:space="preserve"> zorgbehoefte en financiële situatie. Indien </w:t>
      </w:r>
      <w:r w:rsidRPr="001F5941">
        <w:t>je</w:t>
      </w:r>
      <w:r w:rsidRPr="001F5941">
        <w:t xml:space="preserve"> niet voor 31 december 2022 opzegt wordt huidige zorgverzekering automatisch verlengd. </w:t>
      </w:r>
      <w:r w:rsidR="001F5941">
        <w:t>N</w:t>
      </w:r>
      <w:r w:rsidRPr="001F5941">
        <w:t>iet altijd blijven de verz</w:t>
      </w:r>
      <w:r w:rsidRPr="001F5941">
        <w:t>e</w:t>
      </w:r>
      <w:r w:rsidRPr="001F5941">
        <w:t xml:space="preserve">keringsvoorwaarden gelijk. </w:t>
      </w:r>
    </w:p>
    <w:p w14:paraId="2D325D13" w14:textId="79F3042F" w:rsidR="00B0119E" w:rsidRPr="003C251D" w:rsidRDefault="00B0119E" w:rsidP="00B0119E">
      <w:r w:rsidRPr="001F5941">
        <w:t xml:space="preserve">Indien </w:t>
      </w:r>
      <w:r w:rsidRPr="001F5941">
        <w:t xml:space="preserve">je </w:t>
      </w:r>
      <w:r w:rsidRPr="001F5941">
        <w:t xml:space="preserve">wel </w:t>
      </w:r>
      <w:r w:rsidRPr="001F5941">
        <w:t>je</w:t>
      </w:r>
      <w:r w:rsidRPr="001F5941">
        <w:t xml:space="preserve"> verzekering opzegt voor 31 december 2022 dan kun</w:t>
      </w:r>
      <w:r w:rsidRPr="001F5941">
        <w:t xml:space="preserve"> je</w:t>
      </w:r>
      <w:r w:rsidRPr="001F5941">
        <w:t xml:space="preserve"> tot uiterlijk</w:t>
      </w:r>
      <w:r w:rsidRPr="001F5941">
        <w:t xml:space="preserve"> eind </w:t>
      </w:r>
      <w:r w:rsidRPr="001F5941">
        <w:t xml:space="preserve">januari 2023 kiezen voor de zorgverzekering die het beste bij </w:t>
      </w:r>
      <w:r w:rsidRPr="001F5941">
        <w:t>je</w:t>
      </w:r>
      <w:r w:rsidRPr="001F5941">
        <w:t xml:space="preserve"> past.</w:t>
      </w:r>
    </w:p>
    <w:p w14:paraId="3900A3C7" w14:textId="77777777" w:rsidR="00FD48E3" w:rsidRPr="003C251D" w:rsidRDefault="00FD48E3" w:rsidP="003C251D"/>
    <w:p w14:paraId="604F6D2D" w14:textId="591A31A0" w:rsidR="003C251D" w:rsidRPr="003C251D" w:rsidRDefault="003C251D" w:rsidP="003C251D">
      <w:pPr>
        <w:rPr>
          <w:b/>
          <w:bCs/>
        </w:rPr>
      </w:pPr>
      <w:r w:rsidRPr="003C251D">
        <w:rPr>
          <w:b/>
          <w:bCs/>
        </w:rPr>
        <w:t>Tariefbeschikking</w:t>
      </w:r>
      <w:r w:rsidR="00466D85" w:rsidRPr="001F5941">
        <w:rPr>
          <w:b/>
          <w:bCs/>
        </w:rPr>
        <w:t xml:space="preserve"> 2023</w:t>
      </w:r>
    </w:p>
    <w:p w14:paraId="7952AD0C" w14:textId="298747D2" w:rsidR="00B0119E" w:rsidRPr="001F5941" w:rsidRDefault="00466D85" w:rsidP="003C251D">
      <w:r w:rsidRPr="003C251D">
        <w:t xml:space="preserve">Ik hanteer </w:t>
      </w:r>
      <w:r w:rsidRPr="001F5941">
        <w:t xml:space="preserve">bij volwassenen </w:t>
      </w:r>
      <w:r w:rsidRPr="003C251D">
        <w:t xml:space="preserve">standaard de NZa-tarieven (dat zijn de tarieven die voor de GGZ worden opgesteld door de Nederlandse </w:t>
      </w:r>
      <w:r w:rsidRPr="001F5941">
        <w:t>Z</w:t>
      </w:r>
      <w:r w:rsidRPr="003C251D">
        <w:t>orgautoriteit).</w:t>
      </w:r>
      <w:r w:rsidRPr="001F5941">
        <w:t xml:space="preserve"> </w:t>
      </w:r>
      <w:r w:rsidR="003C251D" w:rsidRPr="003C251D">
        <w:t xml:space="preserve">De NZa heeft de </w:t>
      </w:r>
      <w:r w:rsidRPr="001F5941">
        <w:t xml:space="preserve">nieuwe </w:t>
      </w:r>
      <w:r w:rsidR="003C251D" w:rsidRPr="003C251D">
        <w:t xml:space="preserve">tarieven voor 2023 </w:t>
      </w:r>
      <w:r w:rsidRPr="001F5941">
        <w:t xml:space="preserve">inmiddels </w:t>
      </w:r>
      <w:r w:rsidR="003C251D" w:rsidRPr="003C251D">
        <w:t>gepubliceerd</w:t>
      </w:r>
      <w:r w:rsidR="00FD48E3" w:rsidRPr="001F5941">
        <w:t xml:space="preserve">. </w:t>
      </w:r>
      <w:r w:rsidR="003C251D" w:rsidRPr="003C251D">
        <w:t>Op de site van het Zorg</w:t>
      </w:r>
      <w:r w:rsidR="00033387" w:rsidRPr="001F5941">
        <w:t>p</w:t>
      </w:r>
      <w:r w:rsidR="003C251D" w:rsidRPr="003C251D">
        <w:t>restatie</w:t>
      </w:r>
      <w:r w:rsidR="00033387" w:rsidRPr="001F5941">
        <w:t>m</w:t>
      </w:r>
      <w:r w:rsidR="003C251D" w:rsidRPr="003C251D">
        <w:t>odel</w:t>
      </w:r>
      <w:r w:rsidR="00033387" w:rsidRPr="001F5941">
        <w:t xml:space="preserve"> (ZPM)</w:t>
      </w:r>
      <w:r w:rsidR="003C251D" w:rsidRPr="003C251D">
        <w:t xml:space="preserve"> staan de</w:t>
      </w:r>
      <w:r w:rsidR="00FD48E3" w:rsidRPr="001F5941">
        <w:t>ze</w:t>
      </w:r>
      <w:r w:rsidR="003C251D" w:rsidRPr="003C251D">
        <w:t xml:space="preserve"> nieuwe tariefbeschikkingen (</w:t>
      </w:r>
      <w:hyperlink r:id="rId8" w:anchor="content_bijlagen" w:history="1">
        <w:r w:rsidR="003C251D" w:rsidRPr="001F5941">
          <w:rPr>
            <w:rStyle w:val="Hyperlink"/>
          </w:rPr>
          <w:t xml:space="preserve">zie </w:t>
        </w:r>
        <w:r w:rsidR="003C251D" w:rsidRPr="001F5941">
          <w:rPr>
            <w:rStyle w:val="Hyperlink"/>
          </w:rPr>
          <w:t>h</w:t>
        </w:r>
        <w:r w:rsidR="003C251D" w:rsidRPr="001F5941">
          <w:rPr>
            <w:rStyle w:val="Hyperlink"/>
          </w:rPr>
          <w:t>i</w:t>
        </w:r>
        <w:r w:rsidR="003C251D" w:rsidRPr="001F5941">
          <w:rPr>
            <w:rStyle w:val="Hyperlink"/>
          </w:rPr>
          <w:t>er</w:t>
        </w:r>
      </w:hyperlink>
      <w:r w:rsidR="003C251D" w:rsidRPr="003C251D">
        <w:t xml:space="preserve">) </w:t>
      </w:r>
      <w:r w:rsidR="00FD48E3" w:rsidRPr="001F5941">
        <w:t xml:space="preserve">als bijlage </w:t>
      </w:r>
      <w:r w:rsidR="003C251D" w:rsidRPr="003C251D">
        <w:t>vermeld</w:t>
      </w:r>
      <w:r w:rsidR="00FD48E3" w:rsidRPr="001F5941">
        <w:t xml:space="preserve"> </w:t>
      </w:r>
      <w:r w:rsidR="00FD48E3" w:rsidRPr="003C251D">
        <w:t>(tariefbeschikking 23A)</w:t>
      </w:r>
      <w:r w:rsidR="003C251D" w:rsidRPr="003C251D">
        <w:t>.</w:t>
      </w:r>
      <w:r w:rsidR="00033387" w:rsidRPr="001F5941">
        <w:t xml:space="preserve"> </w:t>
      </w:r>
      <w:r w:rsidR="00E763EF">
        <w:t xml:space="preserve">Zie onder in Bijlage 1 voor de veel door IQwise gebruikte NZA-tarieven. </w:t>
      </w:r>
      <w:r w:rsidR="00033387" w:rsidRPr="001F5941">
        <w:br/>
        <w:t xml:space="preserve">Wanneer de zorgverzekeraar niet het volledige bedrag vergoedt, betekent dat dat een deel van de kosten (vaak tientallen procenten) voor rekening van de patiënt komen. Het is belangrijk van te voren goed te overwegen of </w:t>
      </w:r>
      <w:r w:rsidR="001F5941">
        <w:t>je</w:t>
      </w:r>
      <w:r w:rsidR="00033387" w:rsidRPr="001F5941">
        <w:t xml:space="preserve"> deze kosten financieel kunt dragen, ook als de behandeling onverwacht intensiever moet zijn dan eerder gedacht.</w:t>
      </w:r>
    </w:p>
    <w:p w14:paraId="6F63E6ED" w14:textId="7EA0FA4D" w:rsidR="003C251D" w:rsidRPr="003C251D" w:rsidRDefault="00B0119E" w:rsidP="003C251D">
      <w:r w:rsidRPr="001F5941">
        <w:t xml:space="preserve">Uitgebreide </w:t>
      </w:r>
      <w:r w:rsidR="00033387" w:rsidRPr="001F5941">
        <w:t xml:space="preserve">verdere </w:t>
      </w:r>
      <w:r w:rsidRPr="001F5941">
        <w:t xml:space="preserve">informatie over het Zorgprestatiemodel vind je op </w:t>
      </w:r>
      <w:hyperlink r:id="rId9" w:history="1">
        <w:r w:rsidRPr="001F5941">
          <w:rPr>
            <w:rStyle w:val="Hyperlink"/>
          </w:rPr>
          <w:t>www.zorgprestat</w:t>
        </w:r>
        <w:r w:rsidRPr="001F5941">
          <w:rPr>
            <w:rStyle w:val="Hyperlink"/>
          </w:rPr>
          <w:t>i</w:t>
        </w:r>
        <w:r w:rsidRPr="001F5941">
          <w:rPr>
            <w:rStyle w:val="Hyperlink"/>
          </w:rPr>
          <w:t>emodel.nl</w:t>
        </w:r>
      </w:hyperlink>
      <w:r w:rsidRPr="001F5941">
        <w:t>.</w:t>
      </w:r>
      <w:r w:rsidR="00466D85" w:rsidRPr="001F5941">
        <w:br/>
      </w:r>
    </w:p>
    <w:p w14:paraId="669EF9CC" w14:textId="4F676B41" w:rsidR="003C251D" w:rsidRPr="001F5941" w:rsidRDefault="003C251D" w:rsidP="003C251D">
      <w:pPr>
        <w:rPr>
          <w:b/>
          <w:bCs/>
        </w:rPr>
      </w:pPr>
      <w:r w:rsidRPr="003C251D">
        <w:rPr>
          <w:b/>
          <w:bCs/>
        </w:rPr>
        <w:t>Zuivere restitutiepolissen in 2023</w:t>
      </w:r>
    </w:p>
    <w:p w14:paraId="03989AD0" w14:textId="77777777" w:rsidR="00466D85" w:rsidRPr="001F5941" w:rsidRDefault="00FD48E3" w:rsidP="003C251D">
      <w:r w:rsidRPr="001F5941">
        <w:t>Van de eerdere zuivere restitutiepolissen</w:t>
      </w:r>
      <w:r w:rsidR="00466D85" w:rsidRPr="001F5941">
        <w:t>, waarbij 100% van de kosten bij een ongecontracteerde zorgverlener wordt vergoed door de verzekeraar,</w:t>
      </w:r>
      <w:r w:rsidRPr="001F5941">
        <w:t xml:space="preserve"> zijn er </w:t>
      </w:r>
      <w:r w:rsidR="00466D85" w:rsidRPr="001F5941">
        <w:t xml:space="preserve">in 2023 </w:t>
      </w:r>
      <w:r w:rsidRPr="001F5941">
        <w:t>nog slechts enkele overgebleven. De overige zijn bijvoorbeeld overgegaan in een combinatiepolis, waarbij er geen 100% vergoeding meer gehanteerd wordt voor ongecontracteerde zorg in de GGZ (en wijkverpleging)</w:t>
      </w:r>
      <w:r w:rsidR="00466D85" w:rsidRPr="001F5941">
        <w:t>, maar wel voor overige ongecontracteerde zorg</w:t>
      </w:r>
      <w:r w:rsidRPr="001F5941">
        <w:t xml:space="preserve">. </w:t>
      </w:r>
    </w:p>
    <w:p w14:paraId="6BB38FC8" w14:textId="77777777" w:rsidR="00033387" w:rsidRPr="001F5941" w:rsidRDefault="00FD48E3" w:rsidP="003C251D">
      <w:r w:rsidRPr="001F5941">
        <w:lastRenderedPageBreak/>
        <w:t>Er wordt hierover niet altijd eenduidige informatie gegeven. Ook worden termen door elkaar gebruikt zoals NZ</w:t>
      </w:r>
      <w:r w:rsidR="00466D85" w:rsidRPr="001F5941">
        <w:t>a</w:t>
      </w:r>
      <w:r w:rsidRPr="001F5941">
        <w:t>-tarief, marktconform tarief (wat gelijk hoort te staan aan het NZ</w:t>
      </w:r>
      <w:r w:rsidR="00466D85" w:rsidRPr="001F5941">
        <w:t>a</w:t>
      </w:r>
      <w:r w:rsidRPr="001F5941">
        <w:t>-tarief, dit is door de NZ</w:t>
      </w:r>
      <w:r w:rsidR="00466D85" w:rsidRPr="001F5941">
        <w:t>a</w:t>
      </w:r>
      <w:r w:rsidRPr="001F5941">
        <w:t xml:space="preserve"> bevestigd) en gemiddeld gecontracteerd tarief, wat soms vele procenten lager ligt dan het door mij gerekende NZ</w:t>
      </w:r>
      <w:r w:rsidR="00466D85" w:rsidRPr="001F5941">
        <w:t>a</w:t>
      </w:r>
      <w:r w:rsidRPr="001F5941">
        <w:t xml:space="preserve">-tarief. Dit kan betekenen dat er bijvoorbeeld 25% van het bedrag door de patiënt zelf betaald moet worden. </w:t>
      </w:r>
      <w:r w:rsidR="00466D85" w:rsidRPr="001F5941">
        <w:br/>
      </w:r>
      <w:r w:rsidR="00385A1A" w:rsidRPr="001F5941">
        <w:t xml:space="preserve">VGZ heeft recent aangegeven </w:t>
      </w:r>
      <w:r w:rsidR="00385A1A" w:rsidRPr="001F5941">
        <w:t xml:space="preserve">voor 2023 </w:t>
      </w:r>
      <w:r w:rsidR="00385A1A" w:rsidRPr="001F5941">
        <w:t xml:space="preserve">een overgangsregeling te zullen hanteren voor patiënten </w:t>
      </w:r>
      <w:r w:rsidR="00466D85" w:rsidRPr="001F5941">
        <w:t>die in 2022</w:t>
      </w:r>
      <w:r w:rsidR="00385A1A" w:rsidRPr="001F5941">
        <w:t xml:space="preserve"> een 100% restitutiepolis </w:t>
      </w:r>
      <w:r w:rsidR="00466D85" w:rsidRPr="001F5941">
        <w:t xml:space="preserve">hadden en </w:t>
      </w:r>
      <w:r w:rsidR="00385A1A" w:rsidRPr="001F5941">
        <w:t>in 2022 reeds in behandeling waren bij een ongecontracteerde hulpverlener</w:t>
      </w:r>
      <w:r w:rsidR="00385A1A" w:rsidRPr="003C251D">
        <w:t xml:space="preserve">. </w:t>
      </w:r>
    </w:p>
    <w:p w14:paraId="08D7BF18" w14:textId="19E98F22" w:rsidR="00033387" w:rsidRPr="001F5941" w:rsidRDefault="00033387" w:rsidP="003C251D">
      <w:r w:rsidRPr="001F5941">
        <w:t xml:space="preserve">Door het wegvallen van restitutiepolissen </w:t>
      </w:r>
      <w:r w:rsidRPr="001F5941">
        <w:t>komt de vrije artsenkeuze steeds meer onder druk.</w:t>
      </w:r>
      <w:r w:rsidRPr="001F5941">
        <w:t xml:space="preserve"> </w:t>
      </w:r>
      <w:r w:rsidRPr="001F5941">
        <w:t xml:space="preserve">De </w:t>
      </w:r>
      <w:r w:rsidRPr="001F5941">
        <w:t>NVvP</w:t>
      </w:r>
      <w:r w:rsidRPr="001F5941">
        <w:t xml:space="preserve"> en </w:t>
      </w:r>
      <w:r w:rsidRPr="001F5941">
        <w:t>andere partijen</w:t>
      </w:r>
      <w:r w:rsidRPr="001F5941">
        <w:t xml:space="preserve"> hebben sinds kort een duidelijk standpunt verwoord in</w:t>
      </w:r>
      <w:r w:rsidRPr="001F5941">
        <w:t xml:space="preserve"> een</w:t>
      </w:r>
      <w:r w:rsidRPr="001F5941">
        <w:t xml:space="preserve"> position paper “vrije artsenkeuze” dat ik volledig onderschrijf</w:t>
      </w:r>
      <w:r w:rsidRPr="001F5941">
        <w:t xml:space="preserve">; dit vind je op </w:t>
      </w:r>
      <w:hyperlink r:id="rId10" w:history="1">
        <w:r w:rsidRPr="001F5941">
          <w:rPr>
            <w:rStyle w:val="Hyperlink"/>
          </w:rPr>
          <w:t>https://www.nvvp.net/website/nieuws/2</w:t>
        </w:r>
        <w:r w:rsidRPr="001F5941">
          <w:rPr>
            <w:rStyle w:val="Hyperlink"/>
          </w:rPr>
          <w:t>0</w:t>
        </w:r>
        <w:r w:rsidRPr="001F5941">
          <w:rPr>
            <w:rStyle w:val="Hyperlink"/>
          </w:rPr>
          <w:t>22/gezamenlijke-position-paper-rondetafelgesprek-vrije-artsenkeuze</w:t>
        </w:r>
      </w:hyperlink>
      <w:r w:rsidR="0029630C" w:rsidRPr="001F5941">
        <w:t>.</w:t>
      </w:r>
    </w:p>
    <w:p w14:paraId="74658E57" w14:textId="47CF560C" w:rsidR="00FD48E3" w:rsidRPr="001F5941" w:rsidRDefault="00BA4C01" w:rsidP="003C251D">
      <w:r w:rsidRPr="003C251D">
        <w:t>Als hulpverlener mag ik je niet adviseren over welke verzekeringspolis je moet kiezen, wel kan ik je hierover informeren.</w:t>
      </w:r>
      <w:r w:rsidRPr="001F5941">
        <w:t xml:space="preserve"> </w:t>
      </w:r>
      <w:r w:rsidR="00FD48E3" w:rsidRPr="001F5941">
        <w:t xml:space="preserve">Onderstaande polissen </w:t>
      </w:r>
      <w:r w:rsidR="00C56151" w:rsidRPr="001F5941">
        <w:t xml:space="preserve">(op alfabetische volgorde) </w:t>
      </w:r>
      <w:r w:rsidR="00FD48E3" w:rsidRPr="001F5941">
        <w:t xml:space="preserve">zijn de </w:t>
      </w:r>
      <w:r w:rsidR="00C56151" w:rsidRPr="001F5941">
        <w:t xml:space="preserve">bij IQwise op 21-12-2022 bekende </w:t>
      </w:r>
      <w:r w:rsidR="00FD48E3" w:rsidRPr="001F5941">
        <w:t xml:space="preserve">nog resterende </w:t>
      </w:r>
      <w:r w:rsidR="00466D85" w:rsidRPr="001F5941">
        <w:t xml:space="preserve">zuivere </w:t>
      </w:r>
      <w:r w:rsidR="00FD48E3" w:rsidRPr="001F5941">
        <w:t xml:space="preserve">restitutiepolissen, die echter niet allemaal zonder </w:t>
      </w:r>
      <w:r w:rsidR="00BF73E7">
        <w:t>aanvullende voorwaarden</w:t>
      </w:r>
      <w:r w:rsidR="00FD48E3" w:rsidRPr="001F5941">
        <w:t xml:space="preserve"> lijken te zijn:</w:t>
      </w:r>
    </w:p>
    <w:p w14:paraId="3D59C82B" w14:textId="77777777" w:rsidR="00FB42D7" w:rsidRPr="001F5941" w:rsidRDefault="00FB42D7" w:rsidP="003C251D"/>
    <w:tbl>
      <w:tblPr>
        <w:tblStyle w:val="Tabelraster"/>
        <w:tblW w:w="9678" w:type="dxa"/>
        <w:tblLook w:val="04A0" w:firstRow="1" w:lastRow="0" w:firstColumn="1" w:lastColumn="0" w:noHBand="0" w:noVBand="1"/>
      </w:tblPr>
      <w:tblGrid>
        <w:gridCol w:w="2082"/>
        <w:gridCol w:w="1837"/>
        <w:gridCol w:w="1270"/>
        <w:gridCol w:w="4489"/>
      </w:tblGrid>
      <w:tr w:rsidR="00FB42D7" w:rsidRPr="001F5941" w14:paraId="1A989CB2" w14:textId="77777777" w:rsidTr="00BA2C22">
        <w:trPr>
          <w:trHeight w:val="299"/>
        </w:trPr>
        <w:tc>
          <w:tcPr>
            <w:tcW w:w="2082" w:type="dxa"/>
          </w:tcPr>
          <w:p w14:paraId="1B7911DB" w14:textId="0C5FD5C8" w:rsidR="00FB42D7" w:rsidRPr="001F5941" w:rsidRDefault="00FB42D7" w:rsidP="003C251D">
            <w:r w:rsidRPr="003C251D">
              <w:rPr>
                <w:b/>
                <w:bCs/>
              </w:rPr>
              <w:t>Maatschappij</w:t>
            </w:r>
          </w:p>
        </w:tc>
        <w:tc>
          <w:tcPr>
            <w:tcW w:w="1837" w:type="dxa"/>
          </w:tcPr>
          <w:p w14:paraId="0EAEB52F" w14:textId="7B9E6D3A" w:rsidR="00FB42D7" w:rsidRPr="001F5941" w:rsidRDefault="00FB42D7" w:rsidP="003C251D">
            <w:r w:rsidRPr="003C251D">
              <w:rPr>
                <w:b/>
                <w:bCs/>
              </w:rPr>
              <w:t>Polis</w:t>
            </w:r>
          </w:p>
        </w:tc>
        <w:tc>
          <w:tcPr>
            <w:tcW w:w="1270" w:type="dxa"/>
          </w:tcPr>
          <w:p w14:paraId="5F698F82" w14:textId="4198E286" w:rsidR="00FB42D7" w:rsidRPr="001F5941" w:rsidRDefault="00FB42D7" w:rsidP="003C251D">
            <w:r w:rsidRPr="003C251D">
              <w:rPr>
                <w:b/>
                <w:bCs/>
              </w:rPr>
              <w:t>Prijs</w:t>
            </w:r>
            <w:r w:rsidRPr="001F5941">
              <w:rPr>
                <w:b/>
                <w:bCs/>
              </w:rPr>
              <w:t>/mnd</w:t>
            </w:r>
          </w:p>
        </w:tc>
        <w:tc>
          <w:tcPr>
            <w:tcW w:w="4489" w:type="dxa"/>
          </w:tcPr>
          <w:p w14:paraId="6FB35A58" w14:textId="487E90CD" w:rsidR="00FB42D7" w:rsidRPr="001F5941" w:rsidRDefault="00FB42D7" w:rsidP="003C251D">
            <w:r w:rsidRPr="003C251D">
              <w:rPr>
                <w:b/>
                <w:bCs/>
              </w:rPr>
              <w:t>Bijzonderheden</w:t>
            </w:r>
          </w:p>
        </w:tc>
      </w:tr>
      <w:tr w:rsidR="00466D85" w:rsidRPr="001F5941" w14:paraId="4183464C" w14:textId="77777777" w:rsidTr="00BA2C22">
        <w:trPr>
          <w:trHeight w:val="310"/>
        </w:trPr>
        <w:tc>
          <w:tcPr>
            <w:tcW w:w="2082" w:type="dxa"/>
          </w:tcPr>
          <w:p w14:paraId="6BC01D25" w14:textId="4AC1C8DA" w:rsidR="00466D85" w:rsidRPr="001F5941" w:rsidRDefault="00466D85" w:rsidP="00466D85">
            <w:r w:rsidRPr="001F5941">
              <w:t>Aevitae</w:t>
            </w:r>
          </w:p>
        </w:tc>
        <w:tc>
          <w:tcPr>
            <w:tcW w:w="1837" w:type="dxa"/>
          </w:tcPr>
          <w:p w14:paraId="442B1565" w14:textId="07432146" w:rsidR="00466D85" w:rsidRPr="001F5941" w:rsidRDefault="00466D85" w:rsidP="00466D85">
            <w:r w:rsidRPr="001F5941">
              <w:t>Basisverzekering Restitutie / Eigen Keuze</w:t>
            </w:r>
          </w:p>
        </w:tc>
        <w:tc>
          <w:tcPr>
            <w:tcW w:w="1270" w:type="dxa"/>
          </w:tcPr>
          <w:p w14:paraId="43E08E65" w14:textId="3560383F" w:rsidR="00466D85" w:rsidRPr="001F5941" w:rsidRDefault="00466D85" w:rsidP="00466D85">
            <w:r w:rsidRPr="001F5941">
              <w:t>€ 149.95</w:t>
            </w:r>
          </w:p>
        </w:tc>
        <w:tc>
          <w:tcPr>
            <w:tcW w:w="4489" w:type="dxa"/>
          </w:tcPr>
          <w:p w14:paraId="18C39634" w14:textId="475A9D1B" w:rsidR="00466D85" w:rsidRPr="001F5941" w:rsidRDefault="00466D85" w:rsidP="00466D85">
            <w:r w:rsidRPr="001F5941">
              <w:t>Bij deze zorgpolis moet u de zorgverzekeraar om toestemming vragen voorafgaand aan de behandeling (</w:t>
            </w:r>
            <w:r w:rsidRPr="003C251D">
              <w:t>Akkoordverklaring/machtiging</w:t>
            </w:r>
            <w:r w:rsidRPr="001F5941">
              <w:t>)</w:t>
            </w:r>
          </w:p>
        </w:tc>
      </w:tr>
      <w:tr w:rsidR="00466D85" w:rsidRPr="001F5941" w14:paraId="17BCA80D" w14:textId="77777777" w:rsidTr="00BA2C22">
        <w:trPr>
          <w:trHeight w:val="299"/>
        </w:trPr>
        <w:tc>
          <w:tcPr>
            <w:tcW w:w="2082" w:type="dxa"/>
          </w:tcPr>
          <w:p w14:paraId="642CB231" w14:textId="0A339836" w:rsidR="00466D85" w:rsidRPr="001F5941" w:rsidRDefault="00466D85" w:rsidP="00466D85">
            <w:r w:rsidRPr="001F5941">
              <w:t>a.s.r.</w:t>
            </w:r>
          </w:p>
        </w:tc>
        <w:tc>
          <w:tcPr>
            <w:tcW w:w="1837" w:type="dxa"/>
          </w:tcPr>
          <w:p w14:paraId="21BCE0D0" w14:textId="0CC1DBA2" w:rsidR="00466D85" w:rsidRPr="001F5941" w:rsidRDefault="00466D85" w:rsidP="00466D85">
            <w:r w:rsidRPr="001F5941">
              <w:t>Basisverzekering Restitutie</w:t>
            </w:r>
          </w:p>
        </w:tc>
        <w:tc>
          <w:tcPr>
            <w:tcW w:w="1270" w:type="dxa"/>
          </w:tcPr>
          <w:p w14:paraId="66094B53" w14:textId="7A604604" w:rsidR="00466D85" w:rsidRPr="001F5941" w:rsidRDefault="00466D85" w:rsidP="00466D85">
            <w:r w:rsidRPr="001F5941">
              <w:t>€156,50</w:t>
            </w:r>
          </w:p>
        </w:tc>
        <w:tc>
          <w:tcPr>
            <w:tcW w:w="4489" w:type="dxa"/>
          </w:tcPr>
          <w:p w14:paraId="0D9B9F19" w14:textId="210F4BBC" w:rsidR="00466D85" w:rsidRPr="001F5941" w:rsidRDefault="00466D85" w:rsidP="00466D85">
            <w:r w:rsidRPr="001F5941">
              <w:t>Bij deze zorgpolis moet u de zorgverzekeraar om toestemming vragen voorafgaand aan de behandeling (</w:t>
            </w:r>
            <w:r w:rsidRPr="003C251D">
              <w:t>Akkoordverklaring/machtiging</w:t>
            </w:r>
            <w:r w:rsidRPr="001F5941">
              <w:t>)</w:t>
            </w:r>
            <w:r w:rsidR="002B1101" w:rsidRPr="001F5941">
              <w:t>; tevens bestaat een machtigingsvereiste voor diagnostiek langer dan 300 minuten</w:t>
            </w:r>
          </w:p>
        </w:tc>
      </w:tr>
      <w:tr w:rsidR="00466D85" w:rsidRPr="001F5941" w14:paraId="02C79FA3" w14:textId="77777777" w:rsidTr="00BA2C22">
        <w:trPr>
          <w:trHeight w:val="610"/>
        </w:trPr>
        <w:tc>
          <w:tcPr>
            <w:tcW w:w="2082" w:type="dxa"/>
          </w:tcPr>
          <w:p w14:paraId="2E19A8F2" w14:textId="4FF5FC46" w:rsidR="00466D85" w:rsidRPr="001F5941" w:rsidRDefault="00466D85" w:rsidP="00466D85">
            <w:r w:rsidRPr="003C251D">
              <w:t>CZ</w:t>
            </w:r>
          </w:p>
        </w:tc>
        <w:tc>
          <w:tcPr>
            <w:tcW w:w="1837" w:type="dxa"/>
          </w:tcPr>
          <w:p w14:paraId="297325D4" w14:textId="6BF8CAF8" w:rsidR="00466D85" w:rsidRPr="001F5941" w:rsidRDefault="00466D85" w:rsidP="00466D85">
            <w:r w:rsidRPr="003C251D">
              <w:t>Zorgkeuzepolis</w:t>
            </w:r>
          </w:p>
        </w:tc>
        <w:tc>
          <w:tcPr>
            <w:tcW w:w="1270" w:type="dxa"/>
          </w:tcPr>
          <w:p w14:paraId="417F0EA8" w14:textId="1D99D059" w:rsidR="00466D85" w:rsidRPr="001F5941" w:rsidRDefault="00466D85" w:rsidP="00466D85">
            <w:pPr>
              <w:spacing w:after="160" w:line="259" w:lineRule="auto"/>
            </w:pPr>
            <w:r w:rsidRPr="003C251D">
              <w:t>€149,00</w:t>
            </w:r>
          </w:p>
        </w:tc>
        <w:tc>
          <w:tcPr>
            <w:tcW w:w="4489" w:type="dxa"/>
          </w:tcPr>
          <w:p w14:paraId="4262184D" w14:textId="4D48504F" w:rsidR="00466D85" w:rsidRPr="001F5941" w:rsidRDefault="00466D85" w:rsidP="00466D85">
            <w:r w:rsidRPr="001F5941">
              <w:t xml:space="preserve">Bij deze zorgpolis wordt in de loop van 2023 duidelijk hoe </w:t>
            </w:r>
            <w:r w:rsidRPr="001F5941">
              <w:t>men</w:t>
            </w:r>
            <w:r w:rsidRPr="001F5941">
              <w:t xml:space="preserve"> om zal gaan met de akkoordverklaring voor ongecontracteerde GGZ zonder opname.</w:t>
            </w:r>
          </w:p>
        </w:tc>
      </w:tr>
      <w:tr w:rsidR="00466D85" w:rsidRPr="001F5941" w14:paraId="27038141" w14:textId="77777777" w:rsidTr="00BA2C22">
        <w:trPr>
          <w:trHeight w:val="599"/>
        </w:trPr>
        <w:tc>
          <w:tcPr>
            <w:tcW w:w="2082" w:type="dxa"/>
          </w:tcPr>
          <w:p w14:paraId="3F43E796" w14:textId="774FC479" w:rsidR="00466D85" w:rsidRPr="001F5941" w:rsidRDefault="00466D85" w:rsidP="00466D85">
            <w:r w:rsidRPr="001F5941">
              <w:t>IZZ (CZ voor de Zorg)</w:t>
            </w:r>
          </w:p>
        </w:tc>
        <w:tc>
          <w:tcPr>
            <w:tcW w:w="1837" w:type="dxa"/>
          </w:tcPr>
          <w:p w14:paraId="2B184840" w14:textId="744D0201" w:rsidR="00466D85" w:rsidRPr="001F5941" w:rsidRDefault="00466D85" w:rsidP="00466D85">
            <w:r w:rsidRPr="001F5941">
              <w:t>Zorgkeuzepolis</w:t>
            </w:r>
          </w:p>
        </w:tc>
        <w:tc>
          <w:tcPr>
            <w:tcW w:w="1270" w:type="dxa"/>
          </w:tcPr>
          <w:p w14:paraId="5D98992A" w14:textId="1916A29A" w:rsidR="00466D85" w:rsidRPr="001F5941" w:rsidRDefault="00466D85" w:rsidP="00466D85">
            <w:r w:rsidRPr="003C251D">
              <w:t>€149,00</w:t>
            </w:r>
          </w:p>
        </w:tc>
        <w:tc>
          <w:tcPr>
            <w:tcW w:w="4489" w:type="dxa"/>
          </w:tcPr>
          <w:p w14:paraId="4238B8E6" w14:textId="1F751D66" w:rsidR="00466D85" w:rsidRPr="001F5941" w:rsidRDefault="00466D85" w:rsidP="00466D85">
            <w:r w:rsidRPr="001F5941">
              <w:t>Bij deze zorgpolis wordt in de loop van 2023 duidelijk hoe men om zal gaan met de akkoordverklaring voor ongecontracteerde GGZ zonder opname.</w:t>
            </w:r>
          </w:p>
        </w:tc>
      </w:tr>
      <w:tr w:rsidR="00466D85" w:rsidRPr="001F5941" w14:paraId="249F8962" w14:textId="77777777" w:rsidTr="00BA2C22">
        <w:trPr>
          <w:trHeight w:val="496"/>
        </w:trPr>
        <w:tc>
          <w:tcPr>
            <w:tcW w:w="2082" w:type="dxa"/>
          </w:tcPr>
          <w:p w14:paraId="4C8262D8" w14:textId="1F5E677D" w:rsidR="00466D85" w:rsidRPr="001F5941" w:rsidRDefault="00466D85" w:rsidP="00466D85">
            <w:r w:rsidRPr="001F5941">
              <w:t>Menzis</w:t>
            </w:r>
          </w:p>
        </w:tc>
        <w:tc>
          <w:tcPr>
            <w:tcW w:w="1837" w:type="dxa"/>
          </w:tcPr>
          <w:p w14:paraId="4116D634" w14:textId="03B4F0D1" w:rsidR="00466D85" w:rsidRPr="001F5941" w:rsidRDefault="00466D85" w:rsidP="00466D85">
            <w:pPr>
              <w:spacing w:after="160" w:line="259" w:lineRule="auto"/>
            </w:pPr>
            <w:r w:rsidRPr="001F5941">
              <w:t>Menzis Basis Vrij</w:t>
            </w:r>
          </w:p>
        </w:tc>
        <w:tc>
          <w:tcPr>
            <w:tcW w:w="1270" w:type="dxa"/>
          </w:tcPr>
          <w:p w14:paraId="24246BA6" w14:textId="4F874390" w:rsidR="00466D85" w:rsidRPr="001F5941" w:rsidRDefault="00466D85" w:rsidP="00466D85">
            <w:r w:rsidRPr="001F5941">
              <w:t>€ 152.75</w:t>
            </w:r>
          </w:p>
        </w:tc>
        <w:tc>
          <w:tcPr>
            <w:tcW w:w="4489" w:type="dxa"/>
          </w:tcPr>
          <w:p w14:paraId="24428238" w14:textId="584F7F53" w:rsidR="00466D85" w:rsidRPr="001F5941" w:rsidRDefault="00466D85" w:rsidP="00466D85"/>
        </w:tc>
      </w:tr>
      <w:tr w:rsidR="00466D85" w:rsidRPr="001F5941" w14:paraId="1B49AC03" w14:textId="77777777" w:rsidTr="00BA2C22">
        <w:trPr>
          <w:trHeight w:val="299"/>
        </w:trPr>
        <w:tc>
          <w:tcPr>
            <w:tcW w:w="2082" w:type="dxa"/>
          </w:tcPr>
          <w:p w14:paraId="06F69E90" w14:textId="0110FE9F" w:rsidR="00466D85" w:rsidRPr="001F5941" w:rsidRDefault="00466D85" w:rsidP="00466D85">
            <w:r w:rsidRPr="001F5941">
              <w:t>Stad Holland</w:t>
            </w:r>
          </w:p>
        </w:tc>
        <w:tc>
          <w:tcPr>
            <w:tcW w:w="1837" w:type="dxa"/>
          </w:tcPr>
          <w:p w14:paraId="3E2DAA44" w14:textId="0404D688" w:rsidR="00466D85" w:rsidRPr="001F5941" w:rsidRDefault="00466D85" w:rsidP="00466D85">
            <w:r w:rsidRPr="001F5941">
              <w:t>Zorgpolis</w:t>
            </w:r>
          </w:p>
        </w:tc>
        <w:tc>
          <w:tcPr>
            <w:tcW w:w="1270" w:type="dxa"/>
          </w:tcPr>
          <w:p w14:paraId="78E9D621" w14:textId="48A6DECC" w:rsidR="00466D85" w:rsidRPr="001F5941" w:rsidRDefault="00466D85" w:rsidP="00466D85">
            <w:r w:rsidRPr="001F5941">
              <w:t>€ 140.75</w:t>
            </w:r>
          </w:p>
        </w:tc>
        <w:tc>
          <w:tcPr>
            <w:tcW w:w="4489" w:type="dxa"/>
          </w:tcPr>
          <w:p w14:paraId="3DC8B19D" w14:textId="29E8B78A" w:rsidR="00466D85" w:rsidRPr="001F5941" w:rsidRDefault="008541F4" w:rsidP="00466D85">
            <w:r w:rsidRPr="001F5941">
              <w:t>Bij deze verzekering moet u een verzekeringsadviseur kiezen om te kunnen registreren</w:t>
            </w:r>
            <w:r w:rsidRPr="001F5941">
              <w:t>, zonder bijkomende kosten</w:t>
            </w:r>
            <w:r w:rsidRPr="001F5941">
              <w:t xml:space="preserve">. </w:t>
            </w:r>
          </w:p>
        </w:tc>
      </w:tr>
      <w:tr w:rsidR="00466D85" w:rsidRPr="001F5941" w14:paraId="0EBC56A6" w14:textId="77777777" w:rsidTr="00BA2C22">
        <w:trPr>
          <w:trHeight w:val="299"/>
        </w:trPr>
        <w:tc>
          <w:tcPr>
            <w:tcW w:w="2082" w:type="dxa"/>
          </w:tcPr>
          <w:p w14:paraId="53964AF2" w14:textId="02ADFE3F" w:rsidR="00466D85" w:rsidRPr="001F5941" w:rsidRDefault="00466D85" w:rsidP="00466D85">
            <w:r w:rsidRPr="003C251D">
              <w:t>Zilveren Kruis</w:t>
            </w:r>
          </w:p>
        </w:tc>
        <w:tc>
          <w:tcPr>
            <w:tcW w:w="1837" w:type="dxa"/>
          </w:tcPr>
          <w:p w14:paraId="47C6073F" w14:textId="67FF7A52" w:rsidR="00466D85" w:rsidRPr="001F5941" w:rsidRDefault="00466D85" w:rsidP="00466D85">
            <w:r w:rsidRPr="001F5941">
              <w:t>Basis Exclusief</w:t>
            </w:r>
          </w:p>
        </w:tc>
        <w:tc>
          <w:tcPr>
            <w:tcW w:w="1270" w:type="dxa"/>
          </w:tcPr>
          <w:p w14:paraId="1310D3DB" w14:textId="4F0487EA" w:rsidR="00466D85" w:rsidRPr="001F5941" w:rsidRDefault="00466D85" w:rsidP="00466D85">
            <w:r w:rsidRPr="001F5941">
              <w:t>€ 152.75</w:t>
            </w:r>
          </w:p>
        </w:tc>
        <w:tc>
          <w:tcPr>
            <w:tcW w:w="4489" w:type="dxa"/>
          </w:tcPr>
          <w:p w14:paraId="079C357B" w14:textId="77777777" w:rsidR="00466D85" w:rsidRPr="001F5941" w:rsidRDefault="00466D85" w:rsidP="00466D85"/>
        </w:tc>
      </w:tr>
    </w:tbl>
    <w:p w14:paraId="1E3E7145" w14:textId="21407A47" w:rsidR="00BA2C22" w:rsidRPr="003C251D" w:rsidRDefault="00FB42D7" w:rsidP="003C251D">
      <w:pPr>
        <w:rPr>
          <w:i/>
          <w:iCs/>
        </w:rPr>
      </w:pPr>
      <w:r w:rsidRPr="001F5941">
        <w:rPr>
          <w:i/>
          <w:iCs/>
        </w:rPr>
        <w:t>Fouten</w:t>
      </w:r>
      <w:r w:rsidR="00BF73E7">
        <w:rPr>
          <w:i/>
          <w:iCs/>
        </w:rPr>
        <w:t>, onvolledige informatie</w:t>
      </w:r>
      <w:r w:rsidRPr="001F5941">
        <w:rPr>
          <w:i/>
          <w:iCs/>
        </w:rPr>
        <w:t xml:space="preserve"> en wijzigingen voorbehouden</w:t>
      </w:r>
      <w:r w:rsidR="00BF73E7">
        <w:rPr>
          <w:i/>
          <w:iCs/>
        </w:rPr>
        <w:t>. A</w:t>
      </w:r>
      <w:r w:rsidRPr="001F5941">
        <w:rPr>
          <w:i/>
          <w:iCs/>
        </w:rPr>
        <w:t>an deze tabel kunnen geen rechten worden ontleend, onderzoek altijd zelf de verzekeringsvoorwaarden van de polis van je keuze</w:t>
      </w:r>
      <w:r w:rsidR="002D09D9">
        <w:rPr>
          <w:i/>
          <w:iCs/>
        </w:rPr>
        <w:t>. Zie onder voor meer info over machtigingsvereisten.</w:t>
      </w:r>
    </w:p>
    <w:p w14:paraId="7E2DE6B8" w14:textId="77777777" w:rsidR="00C01034" w:rsidRPr="001F5941" w:rsidRDefault="008541F4" w:rsidP="003C251D">
      <w:r w:rsidRPr="001F5941">
        <w:t xml:space="preserve">Alleen de onderste 3 verzekeringen lijken </w:t>
      </w:r>
      <w:r w:rsidR="00BA4C01" w:rsidRPr="001F5941">
        <w:t xml:space="preserve">op 21-12-2022 </w:t>
      </w:r>
      <w:r w:rsidRPr="001F5941">
        <w:t xml:space="preserve">zonder aanvullende voorwaarden een restitutiepolis aan te bieden. </w:t>
      </w:r>
      <w:r w:rsidR="00BA4C01" w:rsidRPr="001F5941">
        <w:t xml:space="preserve">De ervaring leert echter dat tot ver richting het einde van het </w:t>
      </w:r>
      <w:r w:rsidR="00F43825" w:rsidRPr="001F5941">
        <w:lastRenderedPageBreak/>
        <w:t>kalender</w:t>
      </w:r>
      <w:r w:rsidR="00BA4C01" w:rsidRPr="001F5941">
        <w:t>jaar nog veranderingen kunnen worden doorgevoerd.</w:t>
      </w:r>
      <w:r w:rsidR="002B1101" w:rsidRPr="001F5941">
        <w:t xml:space="preserve"> IQwise adviseert haar (aanstaande) patiënten dan ook om hierop alert te blijven.</w:t>
      </w:r>
    </w:p>
    <w:p w14:paraId="383AFBB6" w14:textId="095CAFAE" w:rsidR="00BA2C22" w:rsidRPr="001F5941" w:rsidRDefault="00C01034" w:rsidP="003C251D">
      <w:r w:rsidRPr="001F5941">
        <w:t xml:space="preserve">Indien je ook de vergoeding van specifieke medicatie wilt meewegen in je beslissing, raadpleeg dan dit </w:t>
      </w:r>
      <w:hyperlink r:id="rId11" w:history="1">
        <w:r w:rsidRPr="001F5941">
          <w:rPr>
            <w:rStyle w:val="Hyperlink"/>
          </w:rPr>
          <w:t>vergoedingen</w:t>
        </w:r>
        <w:r w:rsidRPr="001F5941">
          <w:rPr>
            <w:rStyle w:val="Hyperlink"/>
          </w:rPr>
          <w:t>o</w:t>
        </w:r>
        <w:r w:rsidRPr="001F5941">
          <w:rPr>
            <w:rStyle w:val="Hyperlink"/>
          </w:rPr>
          <w:t>verzicht</w:t>
        </w:r>
        <w:r w:rsidRPr="001F5941">
          <w:rPr>
            <w:rStyle w:val="Hyperlink"/>
          </w:rPr>
          <w:t xml:space="preserve"> </w:t>
        </w:r>
        <w:r w:rsidRPr="001F5941">
          <w:rPr>
            <w:rStyle w:val="Hyperlink"/>
          </w:rPr>
          <w:t>van de KNMP</w:t>
        </w:r>
      </w:hyperlink>
      <w:r w:rsidRPr="001F5941">
        <w:t>.</w:t>
      </w:r>
      <w:r w:rsidR="008541F4" w:rsidRPr="001F5941">
        <w:br/>
      </w:r>
    </w:p>
    <w:p w14:paraId="0389FDAB" w14:textId="092A563C" w:rsidR="003C251D" w:rsidRPr="003C251D" w:rsidRDefault="003C251D" w:rsidP="003C251D">
      <w:pPr>
        <w:rPr>
          <w:b/>
          <w:bCs/>
        </w:rPr>
      </w:pPr>
      <w:r w:rsidRPr="003C251D">
        <w:rPr>
          <w:b/>
          <w:bCs/>
        </w:rPr>
        <w:t>Akkoordverklaringen/machtigingen</w:t>
      </w:r>
    </w:p>
    <w:p w14:paraId="00115B98" w14:textId="51260704" w:rsidR="00C912B1" w:rsidRPr="001F5941" w:rsidRDefault="003C251D" w:rsidP="00C912B1">
      <w:r w:rsidRPr="003C251D">
        <w:t>Enkele verzekeraars werkten vorig jaar al met een machtigingenbeleid</w:t>
      </w:r>
      <w:r w:rsidR="007D6DD3" w:rsidRPr="001F5941">
        <w:t>. V</w:t>
      </w:r>
      <w:r w:rsidR="00BA2C22" w:rsidRPr="001F5941">
        <w:t xml:space="preserve">oor 2023 </w:t>
      </w:r>
      <w:r w:rsidR="007D6DD3" w:rsidRPr="001F5941">
        <w:t>werken 4 van de 7 resterende restitutiepolissen zeker of mogelijk met een dergelijke procedure</w:t>
      </w:r>
      <w:r w:rsidR="00385A1A" w:rsidRPr="001F5941">
        <w:t xml:space="preserve">. </w:t>
      </w:r>
      <w:r w:rsidR="00C912B1" w:rsidRPr="001F5941">
        <w:t xml:space="preserve">De beleidsregels die vanuit de Autoriteit Persoonsgegevens zijn opgesteld voor het verwerken van persoonsgegevens ten behoeve van een machtigingsvereiste in de zorgpolis vind je </w:t>
      </w:r>
      <w:hyperlink r:id="rId12" w:history="1">
        <w:r w:rsidR="00C912B1" w:rsidRPr="001F5941">
          <w:rPr>
            <w:rStyle w:val="Hyperlink"/>
          </w:rPr>
          <w:t>hi</w:t>
        </w:r>
        <w:r w:rsidR="00C912B1" w:rsidRPr="001F5941">
          <w:rPr>
            <w:rStyle w:val="Hyperlink"/>
          </w:rPr>
          <w:t>e</w:t>
        </w:r>
        <w:r w:rsidR="00C912B1" w:rsidRPr="001F5941">
          <w:rPr>
            <w:rStyle w:val="Hyperlink"/>
          </w:rPr>
          <w:t>r</w:t>
        </w:r>
      </w:hyperlink>
      <w:r w:rsidR="00C912B1" w:rsidRPr="001F5941">
        <w:t>.</w:t>
      </w:r>
      <w:r w:rsidR="00C912B1" w:rsidRPr="001F5941">
        <w:br/>
      </w:r>
      <w:r w:rsidR="00385A1A" w:rsidRPr="001F5941">
        <w:br/>
      </w:r>
      <w:r w:rsidR="007D6DD3" w:rsidRPr="001F5941">
        <w:t>V</w:t>
      </w:r>
      <w:r w:rsidRPr="003C251D">
        <w:t xml:space="preserve">oor </w:t>
      </w:r>
      <w:r w:rsidR="007D6DD3" w:rsidRPr="001F5941">
        <w:t xml:space="preserve">de machtiging voor behandeling </w:t>
      </w:r>
      <w:r w:rsidRPr="003C251D">
        <w:t>vraagt de verzekeraar medische informatie</w:t>
      </w:r>
      <w:r w:rsidR="00BA2C22" w:rsidRPr="001F5941">
        <w:t xml:space="preserve"> </w:t>
      </w:r>
      <w:r w:rsidR="007D6DD3" w:rsidRPr="001F5941">
        <w:t xml:space="preserve">bij </w:t>
      </w:r>
      <w:r w:rsidR="00013FF5" w:rsidRPr="001F5941">
        <w:t>je</w:t>
      </w:r>
      <w:r w:rsidR="007D6DD3" w:rsidRPr="001F5941">
        <w:t xml:space="preserve"> </w:t>
      </w:r>
      <w:r w:rsidRPr="003C251D">
        <w:t>op</w:t>
      </w:r>
      <w:r w:rsidR="008541F4" w:rsidRPr="001F5941">
        <w:t xml:space="preserve"> van wisselende aard</w:t>
      </w:r>
      <w:r w:rsidRPr="003C251D">
        <w:t>.</w:t>
      </w:r>
      <w:r w:rsidR="00BA2C22" w:rsidRPr="001F5941">
        <w:t xml:space="preserve"> </w:t>
      </w:r>
      <w:r w:rsidR="008541F4" w:rsidRPr="001F5941">
        <w:t>In sommige gevallen vraagt de verzekeraar</w:t>
      </w:r>
      <w:r w:rsidRPr="003C251D">
        <w:t xml:space="preserve"> daarbij </w:t>
      </w:r>
      <w:r w:rsidR="008541F4" w:rsidRPr="001F5941">
        <w:t>zeer</w:t>
      </w:r>
      <w:r w:rsidRPr="003C251D">
        <w:t xml:space="preserve"> </w:t>
      </w:r>
      <w:r w:rsidR="00BA2C22" w:rsidRPr="001F5941">
        <w:t>gedetailleerde medische informatie</w:t>
      </w:r>
      <w:r w:rsidR="008541F4" w:rsidRPr="001F5941">
        <w:t xml:space="preserve"> op</w:t>
      </w:r>
      <w:r w:rsidR="00BA2C22" w:rsidRPr="001F5941">
        <w:t>, waaronder bijvoorbeeld</w:t>
      </w:r>
      <w:r w:rsidR="00BA2C22" w:rsidRPr="001F5941">
        <w:t xml:space="preserve"> </w:t>
      </w:r>
      <w:r w:rsidR="00BA2C22" w:rsidRPr="001F5941">
        <w:t>de verwijsbrief van uw huisarts, diagnostische informatie, DSM-classificatie</w:t>
      </w:r>
      <w:r w:rsidR="00BA2C22" w:rsidRPr="001F5941">
        <w:t xml:space="preserve">, </w:t>
      </w:r>
      <w:r w:rsidR="00BA2C22" w:rsidRPr="001F5941">
        <w:t xml:space="preserve">behandelplan, </w:t>
      </w:r>
      <w:r w:rsidR="00BA2C22" w:rsidRPr="001F5941">
        <w:t xml:space="preserve">het te verwachten aantal behandelsessies en een </w:t>
      </w:r>
      <w:r w:rsidR="00BA2C22" w:rsidRPr="003C251D">
        <w:t>kostenbegroting</w:t>
      </w:r>
      <w:r w:rsidR="00BA2C22" w:rsidRPr="001F5941">
        <w:t>.</w:t>
      </w:r>
      <w:r w:rsidR="008541F4" w:rsidRPr="001F5941">
        <w:t xml:space="preserve"> </w:t>
      </w:r>
      <w:r w:rsidR="00C912B1" w:rsidRPr="001F5941">
        <w:t xml:space="preserve">Er bestaat hiervoor </w:t>
      </w:r>
      <w:r w:rsidR="00C912B1" w:rsidRPr="001F5941">
        <w:t>niet altijd een</w:t>
      </w:r>
      <w:r w:rsidR="00C912B1" w:rsidRPr="001F5941">
        <w:t xml:space="preserve"> wettelijke grondslag</w:t>
      </w:r>
      <w:r w:rsidR="00C01034" w:rsidRPr="001F5941">
        <w:t xml:space="preserve">, hierop wordt echter niet gehandhaafd door de NZa. Wel kunt u </w:t>
      </w:r>
      <w:r w:rsidR="00BF73E7">
        <w:t xml:space="preserve">bij onrechtmatigheden </w:t>
      </w:r>
      <w:r w:rsidR="00C01034" w:rsidRPr="001F5941">
        <w:t xml:space="preserve">een klacht indienen over uw zorgverzekeraar op </w:t>
      </w:r>
      <w:hyperlink r:id="rId13" w:history="1">
        <w:r w:rsidR="00C01034" w:rsidRPr="001F5941">
          <w:rPr>
            <w:rStyle w:val="Hyperlink"/>
          </w:rPr>
          <w:t>Klachteninstituut Financ</w:t>
        </w:r>
        <w:r w:rsidR="00C01034" w:rsidRPr="001F5941">
          <w:rPr>
            <w:rStyle w:val="Hyperlink"/>
          </w:rPr>
          <w:t>i</w:t>
        </w:r>
        <w:r w:rsidR="00C01034" w:rsidRPr="001F5941">
          <w:rPr>
            <w:rStyle w:val="Hyperlink"/>
          </w:rPr>
          <w:t>ële Dienstverlening - Kifid</w:t>
        </w:r>
      </w:hyperlink>
      <w:r w:rsidR="00E2362C" w:rsidRPr="001F5941">
        <w:t>.</w:t>
      </w:r>
      <w:r w:rsidR="00C912B1" w:rsidRPr="001F5941">
        <w:t xml:space="preserve"> </w:t>
      </w:r>
    </w:p>
    <w:p w14:paraId="04B7C1F8" w14:textId="769D4961" w:rsidR="0029630C" w:rsidRPr="001F5941" w:rsidRDefault="0029630C" w:rsidP="00BA2C22">
      <w:r w:rsidRPr="001F5941">
        <w:t xml:space="preserve">NB ASR vraagt ook een machtiging voor </w:t>
      </w:r>
      <w:r w:rsidRPr="001F5941">
        <w:rPr>
          <w:i/>
          <w:iCs/>
        </w:rPr>
        <w:t>diagnostiek</w:t>
      </w:r>
      <w:r w:rsidRPr="001F5941">
        <w:t xml:space="preserve">, wanneer deze de 300 minuten overschrijdt. De ervaring leert dat de vaak complexere diagnostiek bij IQwise niet is afgerond binnen 300 minuten. Dat betekent dat, indien </w:t>
      </w:r>
      <w:r w:rsidR="00013FF5" w:rsidRPr="001F5941">
        <w:t xml:space="preserve">je </w:t>
      </w:r>
      <w:r w:rsidRPr="001F5941">
        <w:t>bij ASR verzekerd bent, er altijd toestemming van de verzekeraar gevraagd zou moeten worden om ook de overige diagnostiekminuten vergoed te krijgen. Hierbij loop</w:t>
      </w:r>
      <w:r w:rsidR="00013FF5" w:rsidRPr="001F5941">
        <w:t xml:space="preserve"> je</w:t>
      </w:r>
      <w:r w:rsidRPr="001F5941">
        <w:t xml:space="preserve"> dus het risico dat </w:t>
      </w:r>
      <w:r w:rsidR="00013FF5" w:rsidRPr="001F5941">
        <w:t>je</w:t>
      </w:r>
      <w:r w:rsidRPr="001F5941">
        <w:t xml:space="preserve"> een aanzienlijk deel van de diagnostiek zelf zult moeten betalen. </w:t>
      </w:r>
    </w:p>
    <w:p w14:paraId="2BF7BF5A" w14:textId="75DAD256" w:rsidR="00534972" w:rsidRPr="001F5941" w:rsidRDefault="00534972" w:rsidP="00BA2C22">
      <w:r w:rsidRPr="001F5941">
        <w:t>NB in geval van een door de patiënt en de behandelaar ingevulde privacyverkl</w:t>
      </w:r>
      <w:r w:rsidRPr="001F5941">
        <w:t>a</w:t>
      </w:r>
      <w:r w:rsidRPr="001F5941">
        <w:t>ring mag de zorgverzekeraar geen tot de diagnose herleidbare informatie eisen voor het afgeven van een machtiging</w:t>
      </w:r>
      <w:r w:rsidR="00E2362C" w:rsidRPr="001F5941">
        <w:t xml:space="preserve"> (maar probeert dat soms toch)</w:t>
      </w:r>
      <w:r w:rsidRPr="001F5941">
        <w:t xml:space="preserve">, zie </w:t>
      </w:r>
      <w:hyperlink r:id="rId14" w:anchor="649178cd-427f-4452-af8f-16d5523045c8" w:history="1">
        <w:r w:rsidRPr="001F5941">
          <w:rPr>
            <w:rStyle w:val="Hyperlink"/>
          </w:rPr>
          <w:t xml:space="preserve">Regeling </w:t>
        </w:r>
        <w:r w:rsidRPr="001F5941">
          <w:rPr>
            <w:rStyle w:val="Hyperlink"/>
          </w:rPr>
          <w:t>g</w:t>
        </w:r>
        <w:r w:rsidRPr="001F5941">
          <w:rPr>
            <w:rStyle w:val="Hyperlink"/>
          </w:rPr>
          <w:t>eestelijke gezondheidszorg en forensische zorg - NR/REG-2313 - Nederlandse Zorgautoriteit (overheid.nl)</w:t>
        </w:r>
      </w:hyperlink>
      <w:r w:rsidRPr="001F5941">
        <w:t xml:space="preserve"> </w:t>
      </w:r>
      <w:r w:rsidR="00C01034" w:rsidRPr="001F5941">
        <w:br/>
      </w:r>
      <w:r w:rsidRPr="001F5941">
        <w:t xml:space="preserve">en </w:t>
      </w:r>
      <w:hyperlink r:id="rId15" w:history="1">
        <w:r w:rsidRPr="001F5941">
          <w:rPr>
            <w:rStyle w:val="Hyperlink"/>
          </w:rPr>
          <w:t>AP: opvragen verwijsbrief verzekerde met priv</w:t>
        </w:r>
        <w:r w:rsidRPr="001F5941">
          <w:rPr>
            <w:rStyle w:val="Hyperlink"/>
          </w:rPr>
          <w:t>a</w:t>
        </w:r>
        <w:r w:rsidRPr="001F5941">
          <w:rPr>
            <w:rStyle w:val="Hyperlink"/>
          </w:rPr>
          <w:t>cyverklaring mag niet | Autoriteit Persoonsgegevens</w:t>
        </w:r>
      </w:hyperlink>
    </w:p>
    <w:p w14:paraId="62C6F18C" w14:textId="0CF4A1AC" w:rsidR="00BA4C01" w:rsidRPr="001F5941" w:rsidRDefault="00BA4C01" w:rsidP="00BA2C22"/>
    <w:p w14:paraId="14110D0B" w14:textId="59195F36" w:rsidR="00767A4E" w:rsidRPr="001F5941" w:rsidRDefault="00767A4E" w:rsidP="00BA2C22">
      <w:pPr>
        <w:rPr>
          <w:b/>
          <w:bCs/>
        </w:rPr>
      </w:pPr>
      <w:r w:rsidRPr="001F5941">
        <w:rPr>
          <w:b/>
          <w:bCs/>
        </w:rPr>
        <w:t>Bezwaren IQwise tegen machtigingsvereiste</w:t>
      </w:r>
    </w:p>
    <w:p w14:paraId="5DBC9BF8" w14:textId="4C714D87" w:rsidR="0005689F" w:rsidRPr="001F5941" w:rsidRDefault="007D6DD3" w:rsidP="00BA2C22">
      <w:r w:rsidRPr="001F5941">
        <w:t>IQwise heeft meerdere bezwaren tegen deze gang van zaken</w:t>
      </w:r>
      <w:r w:rsidR="00767A4E" w:rsidRPr="001F5941">
        <w:t xml:space="preserve"> rond machtigingsverklaringen</w:t>
      </w:r>
      <w:r w:rsidRPr="001F5941">
        <w:t>:</w:t>
      </w:r>
      <w:r w:rsidRPr="001F5941">
        <w:br/>
        <w:t xml:space="preserve">- </w:t>
      </w:r>
      <w:r w:rsidR="00BA2C22" w:rsidRPr="001F5941">
        <w:t xml:space="preserve">Een </w:t>
      </w:r>
      <w:r w:rsidR="00BA2C22" w:rsidRPr="001F5941">
        <w:t xml:space="preserve">belangrijk </w:t>
      </w:r>
      <w:r w:rsidR="00BA2C22" w:rsidRPr="001F5941">
        <w:t xml:space="preserve">deel van deze informatie kan </w:t>
      </w:r>
      <w:r w:rsidRPr="001F5941">
        <w:t xml:space="preserve">bij nieuwe patiënten </w:t>
      </w:r>
      <w:r w:rsidR="00BA2C22" w:rsidRPr="001F5941">
        <w:t xml:space="preserve">niet worden verstrekt voordat u in zorg komt, waardoor zowel </w:t>
      </w:r>
      <w:r w:rsidR="00BA2C22" w:rsidRPr="001F5941">
        <w:t>patiënten</w:t>
      </w:r>
      <w:r w:rsidR="00BA2C22" w:rsidRPr="001F5941">
        <w:t xml:space="preserve"> als zorgverleners in het ongewisse blijven </w:t>
      </w:r>
      <w:r w:rsidR="00BA2C22" w:rsidRPr="001F5941">
        <w:t xml:space="preserve">of na de intake/ diagnostiek ook daadwerkelijk een behandeling kan worden gestart. </w:t>
      </w:r>
      <w:r w:rsidR="00013FF5" w:rsidRPr="001F5941">
        <w:t>Ook he</w:t>
      </w:r>
      <w:r w:rsidR="00767A4E" w:rsidRPr="001F5941">
        <w:t>t reeds starten van de behandeling tijdens de diagnostiekfase wordt zo onmogelijk</w:t>
      </w:r>
      <w:r w:rsidR="00013FF5" w:rsidRPr="001F5941">
        <w:t xml:space="preserve">. </w:t>
      </w:r>
      <w:r w:rsidR="00013FF5" w:rsidRPr="001F5941">
        <w:br/>
        <w:t>IQwise draagt en voelt op dat moment al wel de professionele verantwoordelijkheid, zonder die naar behoren te kunnen invullen.</w:t>
      </w:r>
      <w:r w:rsidRPr="001F5941">
        <w:br/>
        <w:t xml:space="preserve">- Voor </w:t>
      </w:r>
      <w:r w:rsidR="00013FF5" w:rsidRPr="001F5941">
        <w:t>reeds</w:t>
      </w:r>
      <w:r w:rsidR="00767A4E" w:rsidRPr="001F5941">
        <w:t xml:space="preserve"> in 2022 </w:t>
      </w:r>
      <w:r w:rsidR="00013FF5" w:rsidRPr="001F5941">
        <w:t>gestarte</w:t>
      </w:r>
      <w:r w:rsidRPr="001F5941">
        <w:t xml:space="preserve"> behandelingen is er </w:t>
      </w:r>
      <w:r w:rsidR="00013FF5" w:rsidRPr="001F5941">
        <w:t xml:space="preserve">in deze gevallen </w:t>
      </w:r>
      <w:r w:rsidRPr="001F5941">
        <w:t xml:space="preserve">onzekerheid of de behandeling op dezelfde manier kan worden voortgezet totdat de machtiging is afgegeven, met de mogelijke nadelige gevolgen voor </w:t>
      </w:r>
      <w:r w:rsidR="00013FF5" w:rsidRPr="001F5941">
        <w:t>je</w:t>
      </w:r>
      <w:r w:rsidRPr="001F5941">
        <w:t xml:space="preserve"> psychische klachten van dien. </w:t>
      </w:r>
      <w:r w:rsidRPr="001F5941">
        <w:br/>
        <w:t xml:space="preserve">- Verder is IQwise van mening dat het aan de GGZ-behandelaar, die aan allerlei professionele kwaliteitseisen moet voldoen, is om te bepalen of behandeling nodig is en in welke vorm. </w:t>
      </w:r>
      <w:r w:rsidRPr="001F5941">
        <w:br/>
      </w:r>
      <w:r w:rsidRPr="001F5941">
        <w:lastRenderedPageBreak/>
        <w:t>- Tot slot is er</w:t>
      </w:r>
      <w:r w:rsidR="00013FF5" w:rsidRPr="001F5941">
        <w:t>, zoals gezegd,</w:t>
      </w:r>
      <w:r w:rsidRPr="001F5941">
        <w:t xml:space="preserve"> vanuit de NZA geen wettelijke vereiste gesteld aan de verzekeraars om dergelijke informatie bij patiënten </w:t>
      </w:r>
      <w:r w:rsidR="0005689F" w:rsidRPr="001F5941">
        <w:t>op te vragen alvorens een 100% restitutie kan worden geboden. IQwise heeft grote bezwaren tegen het feit dat zorgverzekeraars deze privacygevoelige informatie toch opvragen.</w:t>
      </w:r>
    </w:p>
    <w:p w14:paraId="7732C13D" w14:textId="0E8C1F00" w:rsidR="001F5941" w:rsidRPr="001F5941" w:rsidRDefault="00385A1A" w:rsidP="003C251D">
      <w:r w:rsidRPr="001F5941">
        <w:t>Om deze inhoudelijke redenen kan IQwise niet achter de machtigingsvereiste staan</w:t>
      </w:r>
      <w:r w:rsidR="00013FF5" w:rsidRPr="001F5941">
        <w:t>.</w:t>
      </w:r>
      <w:r w:rsidR="00767A4E" w:rsidRPr="001F5941">
        <w:t xml:space="preserve"> IQwise zal </w:t>
      </w:r>
      <w:r w:rsidR="00013FF5" w:rsidRPr="001F5941">
        <w:t xml:space="preserve">vanwege het beroepsgeheim </w:t>
      </w:r>
      <w:r w:rsidR="00767A4E" w:rsidRPr="001F5941">
        <w:t xml:space="preserve">zelf geen gegevens hiervoor aanleveren aan de </w:t>
      </w:r>
      <w:r w:rsidR="00013FF5" w:rsidRPr="001F5941">
        <w:t>zorg</w:t>
      </w:r>
      <w:r w:rsidR="00767A4E" w:rsidRPr="001F5941">
        <w:t>verzekeraar</w:t>
      </w:r>
      <w:r w:rsidRPr="001F5941">
        <w:t xml:space="preserve">. </w:t>
      </w:r>
      <w:r w:rsidR="00BF73E7">
        <w:t xml:space="preserve">Ook kan IQwise op voorhand geen uitspraken doen over het te verwachten aantal behandelsessies of de te verwachten kosten, aangezien het beloop van psychische klachten in zijn algemeenheid daarvoor te onvoorspelbaar is. </w:t>
      </w:r>
    </w:p>
    <w:p w14:paraId="66CEB7EE" w14:textId="4CD7D018" w:rsidR="003C251D" w:rsidRDefault="00767A4E" w:rsidP="003C251D">
      <w:r w:rsidRPr="001F5941">
        <w:t xml:space="preserve">Wanneer een </w:t>
      </w:r>
      <w:r w:rsidR="001F5941" w:rsidRPr="001F5941">
        <w:t xml:space="preserve">nieuwe </w:t>
      </w:r>
      <w:r w:rsidRPr="001F5941">
        <w:t xml:space="preserve">patiënt in zorg </w:t>
      </w:r>
      <w:r w:rsidR="001F5941" w:rsidRPr="001F5941">
        <w:t xml:space="preserve">wil komen </w:t>
      </w:r>
      <w:r w:rsidRPr="001F5941">
        <w:t xml:space="preserve">bij IQwise en een machtigingsvereiste nodig is voor ofwel een deel van de diagnostiek ofwel het inzetten van een behandeling, </w:t>
      </w:r>
      <w:r w:rsidR="001F5941" w:rsidRPr="001F5941">
        <w:t>zal eerst in overleg bekeken worden of zorg vanuit IQwise mogelijk is. M</w:t>
      </w:r>
      <w:r w:rsidR="00BF73E7">
        <w:t>eestal</w:t>
      </w:r>
      <w:r w:rsidR="001F5941" w:rsidRPr="001F5941">
        <w:t xml:space="preserve"> zal dan geadviseerd worden een andere zorgverlener te zoeken.</w:t>
      </w:r>
    </w:p>
    <w:p w14:paraId="42563FFB" w14:textId="01E1547B" w:rsidR="004610DE" w:rsidRDefault="004610DE" w:rsidP="003C251D"/>
    <w:p w14:paraId="3C72B36C" w14:textId="14C6D947" w:rsidR="004610DE" w:rsidRPr="00E763EF" w:rsidRDefault="004610DE" w:rsidP="003C251D">
      <w:pPr>
        <w:rPr>
          <w:b/>
          <w:bCs/>
          <w:sz w:val="24"/>
          <w:szCs w:val="24"/>
        </w:rPr>
      </w:pPr>
      <w:r w:rsidRPr="00E763EF">
        <w:rPr>
          <w:b/>
          <w:bCs/>
          <w:sz w:val="24"/>
          <w:szCs w:val="24"/>
        </w:rPr>
        <w:t>Bijlage 1</w:t>
      </w:r>
      <w:r w:rsidR="00E763EF">
        <w:rPr>
          <w:b/>
          <w:bCs/>
          <w:sz w:val="24"/>
          <w:szCs w:val="24"/>
        </w:rPr>
        <w:t xml:space="preserve">: veelgebruikte NZA-tarieven bij IQwise, bron: </w:t>
      </w:r>
      <w:hyperlink r:id="rId16" w:anchor="content_bijlagen" w:history="1">
        <w:r w:rsidR="00E763EF" w:rsidRPr="003C251D">
          <w:rPr>
            <w:rStyle w:val="Hyperlink"/>
            <w:b/>
            <w:bCs/>
          </w:rPr>
          <w:t>tariefbeschikking 23A</w:t>
        </w:r>
      </w:hyperlink>
    </w:p>
    <w:tbl>
      <w:tblPr>
        <w:tblStyle w:val="Tabelraster"/>
        <w:tblW w:w="8784" w:type="dxa"/>
        <w:tblLook w:val="04A0" w:firstRow="1" w:lastRow="0" w:firstColumn="1" w:lastColumn="0" w:noHBand="0" w:noVBand="1"/>
      </w:tblPr>
      <w:tblGrid>
        <w:gridCol w:w="1129"/>
        <w:gridCol w:w="6096"/>
        <w:gridCol w:w="1559"/>
      </w:tblGrid>
      <w:tr w:rsidR="004610DE" w:rsidRPr="004610DE" w14:paraId="3895932B" w14:textId="77777777" w:rsidTr="00E763EF">
        <w:tc>
          <w:tcPr>
            <w:tcW w:w="1129" w:type="dxa"/>
          </w:tcPr>
          <w:p w14:paraId="02133B8E" w14:textId="77777777" w:rsidR="004610DE" w:rsidRPr="004610DE" w:rsidRDefault="004610DE" w:rsidP="004610DE">
            <w:pPr>
              <w:spacing w:after="160" w:line="259" w:lineRule="auto"/>
              <w:rPr>
                <w:b/>
                <w:bCs/>
              </w:rPr>
            </w:pPr>
            <w:r w:rsidRPr="004610DE">
              <w:rPr>
                <w:b/>
                <w:bCs/>
              </w:rPr>
              <w:t>Code</w:t>
            </w:r>
          </w:p>
        </w:tc>
        <w:tc>
          <w:tcPr>
            <w:tcW w:w="6096" w:type="dxa"/>
          </w:tcPr>
          <w:p w14:paraId="36E068F0" w14:textId="77777777" w:rsidR="004610DE" w:rsidRPr="004610DE" w:rsidRDefault="004610DE" w:rsidP="004610DE">
            <w:pPr>
              <w:spacing w:after="160" w:line="259" w:lineRule="auto"/>
              <w:rPr>
                <w:b/>
                <w:bCs/>
              </w:rPr>
            </w:pPr>
            <w:r w:rsidRPr="004610DE">
              <w:rPr>
                <w:b/>
                <w:bCs/>
              </w:rPr>
              <w:t>Type consult</w:t>
            </w:r>
          </w:p>
        </w:tc>
        <w:tc>
          <w:tcPr>
            <w:tcW w:w="1559" w:type="dxa"/>
          </w:tcPr>
          <w:p w14:paraId="16258615" w14:textId="65E7EC66" w:rsidR="004610DE" w:rsidRPr="004610DE" w:rsidRDefault="004610DE" w:rsidP="004610DE">
            <w:pPr>
              <w:spacing w:after="160" w:line="259" w:lineRule="auto"/>
              <w:rPr>
                <w:b/>
                <w:bCs/>
              </w:rPr>
            </w:pPr>
            <w:r w:rsidRPr="004610DE">
              <w:rPr>
                <w:b/>
                <w:bCs/>
              </w:rPr>
              <w:t>Tarief</w:t>
            </w:r>
            <w:r>
              <w:rPr>
                <w:b/>
                <w:bCs/>
              </w:rPr>
              <w:t xml:space="preserve"> (euro)</w:t>
            </w:r>
          </w:p>
        </w:tc>
      </w:tr>
      <w:tr w:rsidR="004610DE" w:rsidRPr="004610DE" w14:paraId="46ABF0F0" w14:textId="77777777" w:rsidTr="00E763EF">
        <w:tc>
          <w:tcPr>
            <w:tcW w:w="1129" w:type="dxa"/>
            <w:vAlign w:val="center"/>
          </w:tcPr>
          <w:p w14:paraId="5D3BB3A8" w14:textId="2768C57F" w:rsidR="004610DE" w:rsidRPr="004610DE" w:rsidRDefault="004610DE" w:rsidP="00E763EF">
            <w:pPr>
              <w:spacing w:after="160" w:line="259" w:lineRule="auto"/>
            </w:pPr>
            <w:r>
              <w:rPr>
                <w:rFonts w:ascii="Verdana" w:hAnsi="Verdana" w:cs="Calibri"/>
                <w:color w:val="000000"/>
                <w:sz w:val="18"/>
                <w:szCs w:val="18"/>
              </w:rPr>
              <w:t>CO0009</w:t>
            </w:r>
          </w:p>
        </w:tc>
        <w:tc>
          <w:tcPr>
            <w:tcW w:w="6096" w:type="dxa"/>
            <w:vAlign w:val="bottom"/>
          </w:tcPr>
          <w:p w14:paraId="56682878" w14:textId="2366BBD1" w:rsidR="004610DE" w:rsidRPr="004610DE" w:rsidRDefault="004610DE" w:rsidP="004610DE">
            <w:pPr>
              <w:spacing w:after="160" w:line="259" w:lineRule="auto"/>
            </w:pPr>
            <w:r>
              <w:rPr>
                <w:rFonts w:ascii="Verdana" w:hAnsi="Verdana" w:cs="Calibri"/>
                <w:color w:val="000000"/>
                <w:sz w:val="18"/>
                <w:szCs w:val="18"/>
              </w:rPr>
              <w:t>Ambulant – kwaliteitsstatuut sectie II Arts - specialist, psychiater als regiebehandelaar noodzakelijk conform LKS Diagnostiek 5 minuten</w:t>
            </w:r>
          </w:p>
        </w:tc>
        <w:tc>
          <w:tcPr>
            <w:tcW w:w="1559" w:type="dxa"/>
            <w:vAlign w:val="center"/>
          </w:tcPr>
          <w:p w14:paraId="1FCAEB27" w14:textId="5B30F9F9" w:rsidR="004610DE" w:rsidRPr="004610DE" w:rsidRDefault="004610DE" w:rsidP="00E763EF">
            <w:pPr>
              <w:spacing w:after="160" w:line="259" w:lineRule="auto"/>
            </w:pPr>
            <w:r>
              <w:rPr>
                <w:rFonts w:ascii="Verdana" w:hAnsi="Verdana" w:cs="Calibri"/>
                <w:color w:val="000000"/>
                <w:sz w:val="18"/>
                <w:szCs w:val="18"/>
              </w:rPr>
              <w:t xml:space="preserve"> 64,31 </w:t>
            </w:r>
          </w:p>
        </w:tc>
      </w:tr>
      <w:tr w:rsidR="004610DE" w:rsidRPr="004610DE" w14:paraId="2D894FE7" w14:textId="77777777" w:rsidTr="00E763EF">
        <w:tc>
          <w:tcPr>
            <w:tcW w:w="1129" w:type="dxa"/>
            <w:vAlign w:val="center"/>
          </w:tcPr>
          <w:p w14:paraId="4D4702C0" w14:textId="7662382E" w:rsidR="004610DE" w:rsidRPr="004610DE" w:rsidRDefault="004610DE" w:rsidP="00E763EF">
            <w:pPr>
              <w:spacing w:after="160" w:line="259" w:lineRule="auto"/>
            </w:pPr>
            <w:r>
              <w:rPr>
                <w:rFonts w:ascii="Verdana" w:hAnsi="Verdana" w:cs="Calibri"/>
                <w:color w:val="000000"/>
                <w:sz w:val="18"/>
                <w:szCs w:val="18"/>
              </w:rPr>
              <w:t>CO0074</w:t>
            </w:r>
          </w:p>
        </w:tc>
        <w:tc>
          <w:tcPr>
            <w:tcW w:w="6096" w:type="dxa"/>
            <w:vAlign w:val="bottom"/>
          </w:tcPr>
          <w:p w14:paraId="3841583E" w14:textId="3104E63D" w:rsidR="004610DE" w:rsidRPr="004610DE" w:rsidRDefault="004610DE" w:rsidP="004610DE">
            <w:pPr>
              <w:spacing w:after="160" w:line="259" w:lineRule="auto"/>
            </w:pPr>
            <w:r>
              <w:rPr>
                <w:rFonts w:ascii="Verdana" w:hAnsi="Verdana" w:cs="Calibri"/>
                <w:color w:val="000000"/>
                <w:sz w:val="18"/>
                <w:szCs w:val="18"/>
              </w:rPr>
              <w:t>Ambulant – kwaliteitsstatuut sectie II Arts - specialist, psychiater als regiebehandelaar noodzakelijk conform LKS Behandeling 5 minuten</w:t>
            </w:r>
          </w:p>
        </w:tc>
        <w:tc>
          <w:tcPr>
            <w:tcW w:w="1559" w:type="dxa"/>
            <w:vAlign w:val="center"/>
          </w:tcPr>
          <w:p w14:paraId="49FDED66" w14:textId="78CA21C6" w:rsidR="004610DE" w:rsidRPr="004610DE" w:rsidRDefault="004610DE" w:rsidP="00E763EF">
            <w:pPr>
              <w:spacing w:after="160" w:line="259" w:lineRule="auto"/>
            </w:pPr>
            <w:r>
              <w:rPr>
                <w:rFonts w:ascii="Verdana" w:hAnsi="Verdana" w:cs="Calibri"/>
                <w:color w:val="000000"/>
                <w:sz w:val="18"/>
                <w:szCs w:val="18"/>
              </w:rPr>
              <w:t xml:space="preserve"> 50,10 </w:t>
            </w:r>
          </w:p>
        </w:tc>
      </w:tr>
      <w:tr w:rsidR="004610DE" w:rsidRPr="004610DE" w14:paraId="2AB25C2E" w14:textId="77777777" w:rsidTr="00E763EF">
        <w:tc>
          <w:tcPr>
            <w:tcW w:w="1129" w:type="dxa"/>
            <w:vAlign w:val="center"/>
          </w:tcPr>
          <w:p w14:paraId="07CB0F56" w14:textId="2219C161" w:rsidR="004610DE" w:rsidRPr="004610DE" w:rsidRDefault="004610DE" w:rsidP="00E763EF">
            <w:pPr>
              <w:spacing w:after="160" w:line="259" w:lineRule="auto"/>
            </w:pPr>
            <w:r>
              <w:rPr>
                <w:rFonts w:ascii="Verdana" w:hAnsi="Verdana" w:cs="Calibri"/>
                <w:color w:val="000000"/>
                <w:sz w:val="18"/>
                <w:szCs w:val="18"/>
              </w:rPr>
              <w:t>CO0139</w:t>
            </w:r>
          </w:p>
        </w:tc>
        <w:tc>
          <w:tcPr>
            <w:tcW w:w="6096" w:type="dxa"/>
            <w:vAlign w:val="bottom"/>
          </w:tcPr>
          <w:p w14:paraId="1418157C" w14:textId="6922BC27" w:rsidR="004610DE" w:rsidRPr="004610DE" w:rsidRDefault="004610DE" w:rsidP="004610DE">
            <w:pPr>
              <w:spacing w:after="160" w:line="259" w:lineRule="auto"/>
            </w:pPr>
            <w:r>
              <w:rPr>
                <w:rFonts w:ascii="Verdana" w:hAnsi="Verdana" w:cs="Calibri"/>
                <w:color w:val="000000"/>
                <w:sz w:val="18"/>
                <w:szCs w:val="18"/>
              </w:rPr>
              <w:t>Ambulant – kwaliteitsstatuut sectie II Arts - specialist, psychiater als regiebehandelaar noodzakelijk conform LKS Diagnostiek 15 minuten</w:t>
            </w:r>
          </w:p>
        </w:tc>
        <w:tc>
          <w:tcPr>
            <w:tcW w:w="1559" w:type="dxa"/>
            <w:vAlign w:val="center"/>
          </w:tcPr>
          <w:p w14:paraId="5557F72D" w14:textId="00E046FC" w:rsidR="004610DE" w:rsidRPr="004610DE" w:rsidRDefault="004610DE" w:rsidP="00E763EF">
            <w:pPr>
              <w:spacing w:after="160" w:line="259" w:lineRule="auto"/>
            </w:pPr>
            <w:r>
              <w:rPr>
                <w:rFonts w:ascii="Verdana" w:hAnsi="Verdana" w:cs="Calibri"/>
                <w:color w:val="000000"/>
                <w:sz w:val="18"/>
                <w:szCs w:val="18"/>
              </w:rPr>
              <w:t xml:space="preserve"> 109,63 </w:t>
            </w:r>
          </w:p>
        </w:tc>
      </w:tr>
      <w:tr w:rsidR="004610DE" w:rsidRPr="004610DE" w14:paraId="04199538" w14:textId="77777777" w:rsidTr="00E763EF">
        <w:tc>
          <w:tcPr>
            <w:tcW w:w="1129" w:type="dxa"/>
            <w:vAlign w:val="center"/>
          </w:tcPr>
          <w:p w14:paraId="17871A98" w14:textId="4B5688DD" w:rsidR="004610DE" w:rsidRPr="004610DE" w:rsidRDefault="004610DE" w:rsidP="00E763EF">
            <w:pPr>
              <w:spacing w:after="160" w:line="259" w:lineRule="auto"/>
            </w:pPr>
            <w:r>
              <w:rPr>
                <w:rFonts w:ascii="Verdana" w:hAnsi="Verdana" w:cs="Calibri"/>
                <w:color w:val="000000"/>
                <w:sz w:val="18"/>
                <w:szCs w:val="18"/>
              </w:rPr>
              <w:t>CO0204</w:t>
            </w:r>
          </w:p>
        </w:tc>
        <w:tc>
          <w:tcPr>
            <w:tcW w:w="6096" w:type="dxa"/>
            <w:vAlign w:val="bottom"/>
          </w:tcPr>
          <w:p w14:paraId="3513F071" w14:textId="3231E0E4" w:rsidR="004610DE" w:rsidRPr="004610DE" w:rsidRDefault="004610DE" w:rsidP="004610DE">
            <w:pPr>
              <w:spacing w:after="160" w:line="259" w:lineRule="auto"/>
            </w:pPr>
            <w:r>
              <w:rPr>
                <w:rFonts w:ascii="Verdana" w:hAnsi="Verdana" w:cs="Calibri"/>
                <w:color w:val="000000"/>
                <w:sz w:val="18"/>
                <w:szCs w:val="18"/>
              </w:rPr>
              <w:t>Ambulant – kwaliteitsstatuut sectie II Arts - specialist, psychiater als regiebehandelaar noodzakelijk conform LKS Behandeling 15 minuten</w:t>
            </w:r>
          </w:p>
        </w:tc>
        <w:tc>
          <w:tcPr>
            <w:tcW w:w="1559" w:type="dxa"/>
            <w:vAlign w:val="center"/>
          </w:tcPr>
          <w:p w14:paraId="54C77D2A" w14:textId="76C3B502" w:rsidR="004610DE" w:rsidRPr="004610DE" w:rsidRDefault="004610DE" w:rsidP="00E763EF">
            <w:pPr>
              <w:spacing w:after="160" w:line="259" w:lineRule="auto"/>
            </w:pPr>
            <w:r>
              <w:rPr>
                <w:rFonts w:ascii="Verdana" w:hAnsi="Verdana" w:cs="Calibri"/>
                <w:color w:val="000000"/>
                <w:sz w:val="18"/>
                <w:szCs w:val="18"/>
              </w:rPr>
              <w:t xml:space="preserve"> 88,70 </w:t>
            </w:r>
          </w:p>
        </w:tc>
      </w:tr>
      <w:tr w:rsidR="004610DE" w:rsidRPr="004610DE" w14:paraId="394FB243" w14:textId="77777777" w:rsidTr="00E763EF">
        <w:tc>
          <w:tcPr>
            <w:tcW w:w="1129" w:type="dxa"/>
            <w:vAlign w:val="center"/>
          </w:tcPr>
          <w:p w14:paraId="647E3A77" w14:textId="4E21667A" w:rsidR="004610DE" w:rsidRPr="004610DE" w:rsidRDefault="004610DE" w:rsidP="00E763EF">
            <w:pPr>
              <w:spacing w:after="160" w:line="259" w:lineRule="auto"/>
            </w:pPr>
            <w:r>
              <w:rPr>
                <w:rFonts w:ascii="Verdana" w:hAnsi="Verdana" w:cs="Calibri"/>
                <w:color w:val="000000"/>
                <w:sz w:val="18"/>
                <w:szCs w:val="18"/>
              </w:rPr>
              <w:t>CO0269</w:t>
            </w:r>
          </w:p>
        </w:tc>
        <w:tc>
          <w:tcPr>
            <w:tcW w:w="6096" w:type="dxa"/>
            <w:vAlign w:val="bottom"/>
          </w:tcPr>
          <w:p w14:paraId="5995DF1D" w14:textId="50DD4B7C" w:rsidR="004610DE" w:rsidRPr="004610DE" w:rsidRDefault="004610DE" w:rsidP="004610DE">
            <w:pPr>
              <w:spacing w:after="160" w:line="259" w:lineRule="auto"/>
            </w:pPr>
            <w:r>
              <w:rPr>
                <w:rFonts w:ascii="Verdana" w:hAnsi="Verdana" w:cs="Calibri"/>
                <w:color w:val="000000"/>
                <w:sz w:val="18"/>
                <w:szCs w:val="18"/>
              </w:rPr>
              <w:t>Ambulant – kwaliteitsstatuut sectie II Arts - specialist, psychiater als regiebehandelaar noodzakelijk conform LKS Diagnostiek 30 minuten</w:t>
            </w:r>
          </w:p>
        </w:tc>
        <w:tc>
          <w:tcPr>
            <w:tcW w:w="1559" w:type="dxa"/>
            <w:vAlign w:val="center"/>
          </w:tcPr>
          <w:p w14:paraId="5EAD4C29" w14:textId="2C0DBDDF" w:rsidR="004610DE" w:rsidRPr="004610DE" w:rsidRDefault="004610DE" w:rsidP="00E763EF">
            <w:pPr>
              <w:spacing w:after="160" w:line="259" w:lineRule="auto"/>
            </w:pPr>
            <w:r>
              <w:rPr>
                <w:rFonts w:ascii="Verdana" w:hAnsi="Verdana" w:cs="Calibri"/>
                <w:color w:val="000000"/>
                <w:sz w:val="18"/>
                <w:szCs w:val="18"/>
              </w:rPr>
              <w:t xml:space="preserve"> 177,94 </w:t>
            </w:r>
          </w:p>
        </w:tc>
      </w:tr>
      <w:tr w:rsidR="004610DE" w:rsidRPr="004610DE" w14:paraId="16EC156B" w14:textId="77777777" w:rsidTr="00E763EF">
        <w:tc>
          <w:tcPr>
            <w:tcW w:w="1129" w:type="dxa"/>
            <w:vAlign w:val="center"/>
          </w:tcPr>
          <w:p w14:paraId="4176875C" w14:textId="327EDDD4" w:rsidR="004610DE" w:rsidRPr="004610DE" w:rsidRDefault="004610DE" w:rsidP="00E763EF">
            <w:pPr>
              <w:spacing w:after="160" w:line="259" w:lineRule="auto"/>
            </w:pPr>
            <w:r>
              <w:rPr>
                <w:rFonts w:ascii="Verdana" w:hAnsi="Verdana" w:cs="Calibri"/>
                <w:color w:val="000000"/>
                <w:sz w:val="18"/>
                <w:szCs w:val="18"/>
              </w:rPr>
              <w:t>CO0334</w:t>
            </w:r>
          </w:p>
        </w:tc>
        <w:tc>
          <w:tcPr>
            <w:tcW w:w="6096" w:type="dxa"/>
            <w:vAlign w:val="bottom"/>
          </w:tcPr>
          <w:p w14:paraId="7B33B826" w14:textId="71690204" w:rsidR="004610DE" w:rsidRPr="004610DE" w:rsidRDefault="004610DE" w:rsidP="004610DE">
            <w:pPr>
              <w:spacing w:after="160" w:line="259" w:lineRule="auto"/>
            </w:pPr>
            <w:r>
              <w:rPr>
                <w:rFonts w:ascii="Verdana" w:hAnsi="Verdana" w:cs="Calibri"/>
                <w:color w:val="000000"/>
                <w:sz w:val="18"/>
                <w:szCs w:val="18"/>
              </w:rPr>
              <w:t>Ambulant – kwaliteitsstatuut sectie II Arts - specialist, psychiater als regiebehandelaar noodzakelijk conform LKS Behandeling 30 minuten</w:t>
            </w:r>
          </w:p>
        </w:tc>
        <w:tc>
          <w:tcPr>
            <w:tcW w:w="1559" w:type="dxa"/>
            <w:vAlign w:val="center"/>
          </w:tcPr>
          <w:p w14:paraId="685B7032" w14:textId="1666C161" w:rsidR="004610DE" w:rsidRPr="004610DE" w:rsidRDefault="004610DE" w:rsidP="00E763EF">
            <w:pPr>
              <w:spacing w:after="160" w:line="259" w:lineRule="auto"/>
            </w:pPr>
            <w:r>
              <w:rPr>
                <w:rFonts w:ascii="Verdana" w:hAnsi="Verdana" w:cs="Calibri"/>
                <w:color w:val="000000"/>
                <w:sz w:val="18"/>
                <w:szCs w:val="18"/>
              </w:rPr>
              <w:t xml:space="preserve"> 148,89 </w:t>
            </w:r>
          </w:p>
        </w:tc>
      </w:tr>
      <w:tr w:rsidR="004610DE" w:rsidRPr="004610DE" w14:paraId="3CEEE22F" w14:textId="77777777" w:rsidTr="00E763EF">
        <w:tc>
          <w:tcPr>
            <w:tcW w:w="1129" w:type="dxa"/>
            <w:vAlign w:val="center"/>
          </w:tcPr>
          <w:p w14:paraId="79FE68E2" w14:textId="4C7BC425" w:rsidR="004610DE" w:rsidRPr="004610DE" w:rsidRDefault="004610DE" w:rsidP="00E763EF">
            <w:pPr>
              <w:spacing w:after="160" w:line="259" w:lineRule="auto"/>
            </w:pPr>
            <w:r>
              <w:rPr>
                <w:rFonts w:ascii="Verdana" w:hAnsi="Verdana" w:cs="Calibri"/>
                <w:color w:val="000000"/>
                <w:sz w:val="18"/>
                <w:szCs w:val="18"/>
              </w:rPr>
              <w:t>CO0399</w:t>
            </w:r>
          </w:p>
        </w:tc>
        <w:tc>
          <w:tcPr>
            <w:tcW w:w="6096" w:type="dxa"/>
            <w:vAlign w:val="bottom"/>
          </w:tcPr>
          <w:p w14:paraId="300A9D17" w14:textId="01D63B82" w:rsidR="004610DE" w:rsidRPr="004610DE" w:rsidRDefault="004610DE" w:rsidP="004610DE">
            <w:pPr>
              <w:spacing w:after="160" w:line="259" w:lineRule="auto"/>
            </w:pPr>
            <w:r>
              <w:rPr>
                <w:rFonts w:ascii="Verdana" w:hAnsi="Verdana" w:cs="Calibri"/>
                <w:color w:val="000000"/>
                <w:sz w:val="18"/>
                <w:szCs w:val="18"/>
              </w:rPr>
              <w:t>Ambulant – kwaliteitsstatuut sectie II Arts - specialist, psychiater als regiebehandelaar noodzakelijk conform LKS Diagnostiek 45 minuten</w:t>
            </w:r>
          </w:p>
        </w:tc>
        <w:tc>
          <w:tcPr>
            <w:tcW w:w="1559" w:type="dxa"/>
            <w:vAlign w:val="center"/>
          </w:tcPr>
          <w:p w14:paraId="0955D591" w14:textId="74474ECF" w:rsidR="004610DE" w:rsidRPr="004610DE" w:rsidRDefault="004610DE" w:rsidP="00E763EF">
            <w:pPr>
              <w:spacing w:after="160" w:line="259" w:lineRule="auto"/>
            </w:pPr>
            <w:r>
              <w:rPr>
                <w:rFonts w:ascii="Verdana" w:hAnsi="Verdana" w:cs="Calibri"/>
                <w:color w:val="000000"/>
                <w:sz w:val="18"/>
                <w:szCs w:val="18"/>
              </w:rPr>
              <w:t xml:space="preserve"> 247,32 </w:t>
            </w:r>
          </w:p>
        </w:tc>
      </w:tr>
      <w:tr w:rsidR="004610DE" w:rsidRPr="004610DE" w14:paraId="2F8AC26C" w14:textId="77777777" w:rsidTr="00E763EF">
        <w:tc>
          <w:tcPr>
            <w:tcW w:w="1129" w:type="dxa"/>
            <w:vAlign w:val="center"/>
          </w:tcPr>
          <w:p w14:paraId="3367FBFE" w14:textId="52664AB1" w:rsidR="004610DE" w:rsidRPr="004610DE" w:rsidRDefault="004610DE" w:rsidP="00E763EF">
            <w:pPr>
              <w:spacing w:after="160" w:line="259" w:lineRule="auto"/>
            </w:pPr>
            <w:r>
              <w:rPr>
                <w:rFonts w:ascii="Verdana" w:hAnsi="Verdana" w:cs="Calibri"/>
                <w:color w:val="000000"/>
                <w:sz w:val="18"/>
                <w:szCs w:val="18"/>
              </w:rPr>
              <w:t>CO0464</w:t>
            </w:r>
          </w:p>
        </w:tc>
        <w:tc>
          <w:tcPr>
            <w:tcW w:w="6096" w:type="dxa"/>
            <w:vAlign w:val="bottom"/>
          </w:tcPr>
          <w:p w14:paraId="373B0DB9" w14:textId="5DAEE5B5" w:rsidR="004610DE" w:rsidRPr="004610DE" w:rsidRDefault="004610DE" w:rsidP="004610DE">
            <w:pPr>
              <w:spacing w:after="160" w:line="259" w:lineRule="auto"/>
            </w:pPr>
            <w:r>
              <w:rPr>
                <w:rFonts w:ascii="Verdana" w:hAnsi="Verdana" w:cs="Calibri"/>
                <w:color w:val="000000"/>
                <w:sz w:val="18"/>
                <w:szCs w:val="18"/>
              </w:rPr>
              <w:t>Ambulant – kwaliteitsstatuut sectie II Arts - specialist, psychiater als regiebehandelaar noodzakelijk conform LKS Behandeling 45 minuten</w:t>
            </w:r>
          </w:p>
        </w:tc>
        <w:tc>
          <w:tcPr>
            <w:tcW w:w="1559" w:type="dxa"/>
            <w:vAlign w:val="center"/>
          </w:tcPr>
          <w:p w14:paraId="2899CE44" w14:textId="244ADD19" w:rsidR="004610DE" w:rsidRPr="004610DE" w:rsidRDefault="004610DE" w:rsidP="00E763EF">
            <w:pPr>
              <w:spacing w:after="160" w:line="259" w:lineRule="auto"/>
            </w:pPr>
            <w:r>
              <w:rPr>
                <w:rFonts w:ascii="Verdana" w:hAnsi="Verdana" w:cs="Calibri"/>
                <w:color w:val="000000"/>
                <w:sz w:val="18"/>
                <w:szCs w:val="18"/>
              </w:rPr>
              <w:t xml:space="preserve"> 210,66 </w:t>
            </w:r>
          </w:p>
        </w:tc>
      </w:tr>
      <w:tr w:rsidR="004610DE" w:rsidRPr="004610DE" w14:paraId="04FF4332" w14:textId="77777777" w:rsidTr="00E763EF">
        <w:tc>
          <w:tcPr>
            <w:tcW w:w="1129" w:type="dxa"/>
            <w:vAlign w:val="center"/>
          </w:tcPr>
          <w:p w14:paraId="79517A27" w14:textId="4049D174" w:rsidR="004610DE" w:rsidRPr="004610DE" w:rsidRDefault="004610DE" w:rsidP="00E763EF">
            <w:pPr>
              <w:spacing w:after="160" w:line="259" w:lineRule="auto"/>
            </w:pPr>
            <w:r>
              <w:rPr>
                <w:rFonts w:ascii="Verdana" w:hAnsi="Verdana" w:cs="Calibri"/>
                <w:color w:val="000000"/>
                <w:sz w:val="18"/>
                <w:szCs w:val="18"/>
              </w:rPr>
              <w:t>CO0529</w:t>
            </w:r>
          </w:p>
        </w:tc>
        <w:tc>
          <w:tcPr>
            <w:tcW w:w="6096" w:type="dxa"/>
            <w:vAlign w:val="bottom"/>
          </w:tcPr>
          <w:p w14:paraId="45C830F7" w14:textId="73D32EEB" w:rsidR="004610DE" w:rsidRPr="004610DE" w:rsidRDefault="004610DE" w:rsidP="004610DE">
            <w:pPr>
              <w:spacing w:after="160" w:line="259" w:lineRule="auto"/>
            </w:pPr>
            <w:r>
              <w:rPr>
                <w:rFonts w:ascii="Verdana" w:hAnsi="Verdana" w:cs="Calibri"/>
                <w:color w:val="000000"/>
                <w:sz w:val="18"/>
                <w:szCs w:val="18"/>
              </w:rPr>
              <w:t>Ambulant – kwaliteitsstatuut sectie II Arts - specialist, psychiater als regiebehandelaar noodzakelijk conform LKS Diagnostiek 60 minuten</w:t>
            </w:r>
          </w:p>
        </w:tc>
        <w:tc>
          <w:tcPr>
            <w:tcW w:w="1559" w:type="dxa"/>
            <w:vAlign w:val="center"/>
          </w:tcPr>
          <w:p w14:paraId="475E3AB6" w14:textId="0D39721A" w:rsidR="004610DE" w:rsidRPr="004610DE" w:rsidRDefault="004610DE" w:rsidP="00E763EF">
            <w:pPr>
              <w:spacing w:after="160" w:line="259" w:lineRule="auto"/>
            </w:pPr>
            <w:r>
              <w:rPr>
                <w:rFonts w:ascii="Verdana" w:hAnsi="Verdana" w:cs="Calibri"/>
                <w:color w:val="000000"/>
                <w:sz w:val="18"/>
                <w:szCs w:val="18"/>
              </w:rPr>
              <w:t xml:space="preserve"> 284,62 </w:t>
            </w:r>
          </w:p>
        </w:tc>
      </w:tr>
      <w:tr w:rsidR="004610DE" w:rsidRPr="004610DE" w14:paraId="1BB33D61" w14:textId="77777777" w:rsidTr="00E763EF">
        <w:tc>
          <w:tcPr>
            <w:tcW w:w="1129" w:type="dxa"/>
            <w:vAlign w:val="center"/>
          </w:tcPr>
          <w:p w14:paraId="4FC177EE" w14:textId="5A26775F" w:rsidR="004610DE" w:rsidRPr="004610DE" w:rsidRDefault="004610DE" w:rsidP="00E763EF">
            <w:pPr>
              <w:spacing w:after="160" w:line="259" w:lineRule="auto"/>
            </w:pPr>
            <w:r>
              <w:rPr>
                <w:rFonts w:ascii="Verdana" w:hAnsi="Verdana" w:cs="Calibri"/>
                <w:color w:val="000000"/>
                <w:sz w:val="18"/>
                <w:szCs w:val="18"/>
              </w:rPr>
              <w:lastRenderedPageBreak/>
              <w:t>CO0594</w:t>
            </w:r>
          </w:p>
        </w:tc>
        <w:tc>
          <w:tcPr>
            <w:tcW w:w="6096" w:type="dxa"/>
            <w:vAlign w:val="bottom"/>
          </w:tcPr>
          <w:p w14:paraId="4C22CA17" w14:textId="4C825595" w:rsidR="004610DE" w:rsidRPr="004610DE" w:rsidRDefault="004610DE" w:rsidP="004610DE">
            <w:pPr>
              <w:spacing w:after="160" w:line="259" w:lineRule="auto"/>
            </w:pPr>
            <w:r>
              <w:rPr>
                <w:rFonts w:ascii="Verdana" w:hAnsi="Verdana" w:cs="Calibri"/>
                <w:color w:val="000000"/>
                <w:sz w:val="18"/>
                <w:szCs w:val="18"/>
              </w:rPr>
              <w:t>Ambulant – kwaliteitsstatuut sectie II Arts - specialist, psychiater als regiebehandelaar noodzakelijk conform LKS Behandeling 60 minuten</w:t>
            </w:r>
          </w:p>
        </w:tc>
        <w:tc>
          <w:tcPr>
            <w:tcW w:w="1559" w:type="dxa"/>
            <w:vAlign w:val="center"/>
          </w:tcPr>
          <w:p w14:paraId="07672997" w14:textId="3E683C4A" w:rsidR="004610DE" w:rsidRPr="004610DE" w:rsidRDefault="004610DE" w:rsidP="00E763EF">
            <w:pPr>
              <w:spacing w:after="160" w:line="259" w:lineRule="auto"/>
            </w:pPr>
            <w:r>
              <w:rPr>
                <w:rFonts w:ascii="Verdana" w:hAnsi="Verdana" w:cs="Calibri"/>
                <w:color w:val="000000"/>
                <w:sz w:val="18"/>
                <w:szCs w:val="18"/>
              </w:rPr>
              <w:t xml:space="preserve"> 250,71 </w:t>
            </w:r>
          </w:p>
        </w:tc>
      </w:tr>
      <w:tr w:rsidR="004610DE" w:rsidRPr="004610DE" w14:paraId="72BA91A4" w14:textId="77777777" w:rsidTr="00E763EF">
        <w:tc>
          <w:tcPr>
            <w:tcW w:w="1129" w:type="dxa"/>
            <w:vAlign w:val="center"/>
          </w:tcPr>
          <w:p w14:paraId="46467C91" w14:textId="72B09F6E" w:rsidR="004610DE" w:rsidRPr="004610DE" w:rsidRDefault="004610DE" w:rsidP="00E763EF">
            <w:pPr>
              <w:spacing w:after="160" w:line="259" w:lineRule="auto"/>
            </w:pPr>
            <w:r>
              <w:rPr>
                <w:rFonts w:ascii="Verdana" w:hAnsi="Verdana" w:cs="Calibri"/>
                <w:color w:val="000000"/>
                <w:sz w:val="18"/>
                <w:szCs w:val="18"/>
              </w:rPr>
              <w:t>CO0659</w:t>
            </w:r>
          </w:p>
        </w:tc>
        <w:tc>
          <w:tcPr>
            <w:tcW w:w="6096" w:type="dxa"/>
            <w:vAlign w:val="bottom"/>
          </w:tcPr>
          <w:p w14:paraId="1925A7B6" w14:textId="693549CD" w:rsidR="004610DE" w:rsidRPr="004610DE" w:rsidRDefault="004610DE" w:rsidP="004610DE">
            <w:pPr>
              <w:spacing w:after="160" w:line="259" w:lineRule="auto"/>
            </w:pPr>
            <w:r>
              <w:rPr>
                <w:rFonts w:ascii="Verdana" w:hAnsi="Verdana" w:cs="Calibri"/>
                <w:color w:val="000000"/>
                <w:sz w:val="18"/>
                <w:szCs w:val="18"/>
              </w:rPr>
              <w:t>Ambulant – kwaliteitsstatuut sectie II Arts - specialist, psychiater als regiebehandelaar noodzakelijk conform LKS Diagnostiek 75 minuten</w:t>
            </w:r>
          </w:p>
        </w:tc>
        <w:tc>
          <w:tcPr>
            <w:tcW w:w="1559" w:type="dxa"/>
            <w:vAlign w:val="center"/>
          </w:tcPr>
          <w:p w14:paraId="0CC4BE06" w14:textId="36BAEC9B" w:rsidR="004610DE" w:rsidRPr="004610DE" w:rsidRDefault="004610DE" w:rsidP="00E763EF">
            <w:pPr>
              <w:spacing w:after="160" w:line="259" w:lineRule="auto"/>
            </w:pPr>
            <w:r>
              <w:rPr>
                <w:rFonts w:ascii="Verdana" w:hAnsi="Verdana" w:cs="Calibri"/>
                <w:color w:val="000000"/>
                <w:sz w:val="18"/>
                <w:szCs w:val="18"/>
              </w:rPr>
              <w:t xml:space="preserve"> 346,76 </w:t>
            </w:r>
          </w:p>
        </w:tc>
      </w:tr>
      <w:tr w:rsidR="004610DE" w:rsidRPr="004610DE" w14:paraId="750D2B68" w14:textId="77777777" w:rsidTr="00E763EF">
        <w:tc>
          <w:tcPr>
            <w:tcW w:w="1129" w:type="dxa"/>
            <w:vAlign w:val="center"/>
          </w:tcPr>
          <w:p w14:paraId="52C71778" w14:textId="7CE136EB" w:rsidR="004610DE" w:rsidRDefault="004610DE" w:rsidP="00E763EF">
            <w:pPr>
              <w:rPr>
                <w:rFonts w:ascii="Verdana" w:hAnsi="Verdana" w:cs="Calibri"/>
                <w:color w:val="000000"/>
                <w:sz w:val="18"/>
                <w:szCs w:val="18"/>
              </w:rPr>
            </w:pPr>
            <w:r>
              <w:rPr>
                <w:rFonts w:ascii="Verdana" w:hAnsi="Verdana" w:cs="Calibri"/>
                <w:color w:val="000000"/>
                <w:sz w:val="18"/>
                <w:szCs w:val="18"/>
              </w:rPr>
              <w:t>CO0724</w:t>
            </w:r>
          </w:p>
        </w:tc>
        <w:tc>
          <w:tcPr>
            <w:tcW w:w="6096" w:type="dxa"/>
            <w:vAlign w:val="bottom"/>
          </w:tcPr>
          <w:p w14:paraId="1BF5E3E2" w14:textId="77777777" w:rsidR="004610DE" w:rsidRDefault="004610DE" w:rsidP="004610DE">
            <w:pPr>
              <w:rPr>
                <w:rFonts w:ascii="Verdana" w:hAnsi="Verdana" w:cs="Calibri"/>
                <w:color w:val="000000"/>
                <w:sz w:val="18"/>
                <w:szCs w:val="18"/>
              </w:rPr>
            </w:pPr>
            <w:r>
              <w:rPr>
                <w:rFonts w:ascii="Verdana" w:hAnsi="Verdana" w:cs="Calibri"/>
                <w:color w:val="000000"/>
                <w:sz w:val="18"/>
                <w:szCs w:val="18"/>
              </w:rPr>
              <w:t>Ambulant – kwaliteitsstatuut sectie II Arts - specialist, psychiater als regiebehandelaar noodzakelijk conform LKS Behandeling 75 minuten</w:t>
            </w:r>
          </w:p>
          <w:p w14:paraId="3ADC26B1" w14:textId="105EB296" w:rsidR="004610DE" w:rsidRPr="004610DE" w:rsidRDefault="004610DE" w:rsidP="004610DE"/>
        </w:tc>
        <w:tc>
          <w:tcPr>
            <w:tcW w:w="1559" w:type="dxa"/>
            <w:vAlign w:val="center"/>
          </w:tcPr>
          <w:p w14:paraId="6A87C13D" w14:textId="3C13D17F" w:rsidR="004610DE" w:rsidRPr="004610DE" w:rsidRDefault="004610DE" w:rsidP="00E763EF">
            <w:r>
              <w:rPr>
                <w:rFonts w:ascii="Verdana" w:hAnsi="Verdana" w:cs="Calibri"/>
                <w:color w:val="000000"/>
                <w:sz w:val="18"/>
                <w:szCs w:val="18"/>
              </w:rPr>
              <w:t xml:space="preserve"> 308,61 </w:t>
            </w:r>
          </w:p>
        </w:tc>
      </w:tr>
      <w:tr w:rsidR="004610DE" w:rsidRPr="004610DE" w14:paraId="34E9798E" w14:textId="77777777" w:rsidTr="00E763EF">
        <w:tc>
          <w:tcPr>
            <w:tcW w:w="1129" w:type="dxa"/>
            <w:vAlign w:val="center"/>
          </w:tcPr>
          <w:p w14:paraId="05A0C1F7" w14:textId="6704CE3A" w:rsidR="004610DE" w:rsidRDefault="004610DE" w:rsidP="00E763EF">
            <w:pPr>
              <w:rPr>
                <w:rFonts w:ascii="Verdana" w:hAnsi="Verdana" w:cs="Calibri"/>
                <w:color w:val="000000"/>
                <w:sz w:val="18"/>
                <w:szCs w:val="18"/>
              </w:rPr>
            </w:pPr>
            <w:r>
              <w:rPr>
                <w:rFonts w:ascii="Verdana" w:hAnsi="Verdana" w:cs="Calibri"/>
                <w:color w:val="000000"/>
                <w:sz w:val="18"/>
                <w:szCs w:val="18"/>
              </w:rPr>
              <w:t>CO0789</w:t>
            </w:r>
          </w:p>
        </w:tc>
        <w:tc>
          <w:tcPr>
            <w:tcW w:w="6096" w:type="dxa"/>
            <w:vAlign w:val="bottom"/>
          </w:tcPr>
          <w:p w14:paraId="4210FB35" w14:textId="77777777" w:rsidR="004610DE" w:rsidRDefault="004610DE" w:rsidP="004610DE">
            <w:pPr>
              <w:rPr>
                <w:rFonts w:ascii="Verdana" w:hAnsi="Verdana" w:cs="Calibri"/>
                <w:color w:val="000000"/>
                <w:sz w:val="18"/>
                <w:szCs w:val="18"/>
              </w:rPr>
            </w:pPr>
            <w:r>
              <w:rPr>
                <w:rFonts w:ascii="Verdana" w:hAnsi="Verdana" w:cs="Calibri"/>
                <w:color w:val="000000"/>
                <w:sz w:val="18"/>
                <w:szCs w:val="18"/>
              </w:rPr>
              <w:t>Ambulant – kwaliteitsstatuut sectie II Arts - specialist, psychiater als regiebehandelaar noodzakelijk conform LKS Diagnostiek 90 minuten</w:t>
            </w:r>
          </w:p>
          <w:p w14:paraId="033DD1F6" w14:textId="43342234" w:rsidR="004610DE" w:rsidRPr="004610DE" w:rsidRDefault="004610DE" w:rsidP="004610DE"/>
        </w:tc>
        <w:tc>
          <w:tcPr>
            <w:tcW w:w="1559" w:type="dxa"/>
            <w:vAlign w:val="center"/>
          </w:tcPr>
          <w:p w14:paraId="7755E2C4" w14:textId="5F58D126" w:rsidR="004610DE" w:rsidRPr="004610DE" w:rsidRDefault="004610DE" w:rsidP="00E763EF">
            <w:r>
              <w:rPr>
                <w:rFonts w:ascii="Verdana" w:hAnsi="Verdana" w:cs="Calibri"/>
                <w:color w:val="000000"/>
                <w:sz w:val="18"/>
                <w:szCs w:val="18"/>
              </w:rPr>
              <w:t xml:space="preserve"> 424,98 </w:t>
            </w:r>
          </w:p>
        </w:tc>
      </w:tr>
      <w:tr w:rsidR="004610DE" w:rsidRPr="004610DE" w14:paraId="53F7C0F1" w14:textId="77777777" w:rsidTr="00E763EF">
        <w:tc>
          <w:tcPr>
            <w:tcW w:w="1129" w:type="dxa"/>
            <w:vAlign w:val="center"/>
          </w:tcPr>
          <w:p w14:paraId="62FE81EA" w14:textId="3E6886D3" w:rsidR="004610DE" w:rsidRDefault="004610DE" w:rsidP="00E763EF">
            <w:pPr>
              <w:rPr>
                <w:rFonts w:ascii="Verdana" w:hAnsi="Verdana" w:cs="Calibri"/>
                <w:color w:val="000000"/>
                <w:sz w:val="18"/>
                <w:szCs w:val="18"/>
              </w:rPr>
            </w:pPr>
            <w:r>
              <w:rPr>
                <w:rFonts w:ascii="Verdana" w:hAnsi="Verdana" w:cs="Calibri"/>
                <w:color w:val="000000"/>
                <w:sz w:val="18"/>
                <w:szCs w:val="18"/>
              </w:rPr>
              <w:t>CO0854</w:t>
            </w:r>
          </w:p>
        </w:tc>
        <w:tc>
          <w:tcPr>
            <w:tcW w:w="6096" w:type="dxa"/>
            <w:vAlign w:val="bottom"/>
          </w:tcPr>
          <w:p w14:paraId="36D42BD6" w14:textId="77777777" w:rsidR="004610DE" w:rsidRDefault="004610DE" w:rsidP="004610DE">
            <w:pPr>
              <w:rPr>
                <w:rFonts w:ascii="Verdana" w:hAnsi="Verdana" w:cs="Calibri"/>
                <w:color w:val="000000"/>
                <w:sz w:val="18"/>
                <w:szCs w:val="18"/>
              </w:rPr>
            </w:pPr>
            <w:r>
              <w:rPr>
                <w:rFonts w:ascii="Verdana" w:hAnsi="Verdana" w:cs="Calibri"/>
                <w:color w:val="000000"/>
                <w:sz w:val="18"/>
                <w:szCs w:val="18"/>
              </w:rPr>
              <w:t>Ambulant – kwaliteitsstatuut sectie II Arts - specialist, psychiater als regiebehandelaar noodzakelijk conform LKS Behandeling 90 minuten</w:t>
            </w:r>
          </w:p>
          <w:p w14:paraId="58CAE1B2" w14:textId="208203B0" w:rsidR="004610DE" w:rsidRPr="004610DE" w:rsidRDefault="004610DE" w:rsidP="004610DE"/>
        </w:tc>
        <w:tc>
          <w:tcPr>
            <w:tcW w:w="1559" w:type="dxa"/>
            <w:vAlign w:val="center"/>
          </w:tcPr>
          <w:p w14:paraId="37625F88" w14:textId="6D5C7ABD" w:rsidR="004610DE" w:rsidRPr="004610DE" w:rsidRDefault="004610DE" w:rsidP="00E763EF">
            <w:r>
              <w:rPr>
                <w:rFonts w:ascii="Verdana" w:hAnsi="Verdana" w:cs="Calibri"/>
                <w:color w:val="000000"/>
                <w:sz w:val="18"/>
                <w:szCs w:val="18"/>
              </w:rPr>
              <w:t xml:space="preserve"> 376,89 </w:t>
            </w:r>
          </w:p>
        </w:tc>
      </w:tr>
      <w:tr w:rsidR="004610DE" w:rsidRPr="004610DE" w14:paraId="7ED92AE6" w14:textId="77777777" w:rsidTr="00E763EF">
        <w:tc>
          <w:tcPr>
            <w:tcW w:w="1129" w:type="dxa"/>
            <w:vAlign w:val="center"/>
          </w:tcPr>
          <w:p w14:paraId="0EE42F3A" w14:textId="4B091AE1" w:rsidR="004610DE" w:rsidRDefault="004610DE" w:rsidP="00E763EF">
            <w:pPr>
              <w:rPr>
                <w:rFonts w:ascii="Verdana" w:hAnsi="Verdana" w:cs="Calibri"/>
                <w:color w:val="000000"/>
                <w:sz w:val="18"/>
                <w:szCs w:val="18"/>
              </w:rPr>
            </w:pPr>
            <w:r>
              <w:rPr>
                <w:rFonts w:ascii="Verdana" w:hAnsi="Verdana" w:cs="Calibri"/>
                <w:color w:val="000000"/>
                <w:sz w:val="18"/>
                <w:szCs w:val="18"/>
              </w:rPr>
              <w:t>CO0919</w:t>
            </w:r>
          </w:p>
        </w:tc>
        <w:tc>
          <w:tcPr>
            <w:tcW w:w="6096" w:type="dxa"/>
            <w:vAlign w:val="bottom"/>
          </w:tcPr>
          <w:p w14:paraId="6C09F805" w14:textId="77777777" w:rsidR="004610DE" w:rsidRDefault="004610DE" w:rsidP="004610DE">
            <w:pPr>
              <w:rPr>
                <w:rFonts w:ascii="Verdana" w:hAnsi="Verdana" w:cs="Calibri"/>
                <w:color w:val="000000"/>
                <w:sz w:val="18"/>
                <w:szCs w:val="18"/>
              </w:rPr>
            </w:pPr>
            <w:r>
              <w:rPr>
                <w:rFonts w:ascii="Verdana" w:hAnsi="Verdana" w:cs="Calibri"/>
                <w:color w:val="000000"/>
                <w:sz w:val="18"/>
                <w:szCs w:val="18"/>
              </w:rPr>
              <w:t>Ambulant – kwaliteitsstatuut sectie II Arts - specialist, psychiater als regiebehandelaar noodzakelijk conform LKS Diagnostiek 120 minuten</w:t>
            </w:r>
          </w:p>
          <w:p w14:paraId="62F486E8" w14:textId="04A293BA" w:rsidR="004610DE" w:rsidRPr="004610DE" w:rsidRDefault="004610DE" w:rsidP="004610DE"/>
        </w:tc>
        <w:tc>
          <w:tcPr>
            <w:tcW w:w="1559" w:type="dxa"/>
            <w:vAlign w:val="center"/>
          </w:tcPr>
          <w:p w14:paraId="3FDF9162" w14:textId="0FDD9FFF" w:rsidR="004610DE" w:rsidRPr="004610DE" w:rsidRDefault="004610DE" w:rsidP="00E763EF">
            <w:r>
              <w:rPr>
                <w:rFonts w:ascii="Verdana" w:hAnsi="Verdana" w:cs="Calibri"/>
                <w:color w:val="000000"/>
                <w:sz w:val="18"/>
                <w:szCs w:val="18"/>
              </w:rPr>
              <w:t xml:space="preserve"> 612,74 </w:t>
            </w:r>
          </w:p>
        </w:tc>
      </w:tr>
      <w:tr w:rsidR="004610DE" w:rsidRPr="004610DE" w14:paraId="275C81CA" w14:textId="77777777" w:rsidTr="00E763EF">
        <w:tc>
          <w:tcPr>
            <w:tcW w:w="1129" w:type="dxa"/>
            <w:vAlign w:val="center"/>
          </w:tcPr>
          <w:p w14:paraId="204BE041" w14:textId="3758F57E" w:rsidR="004610DE" w:rsidRDefault="004610DE" w:rsidP="00E763EF">
            <w:pPr>
              <w:rPr>
                <w:rFonts w:ascii="Verdana" w:hAnsi="Verdana" w:cs="Calibri"/>
                <w:color w:val="000000"/>
                <w:sz w:val="18"/>
                <w:szCs w:val="18"/>
              </w:rPr>
            </w:pPr>
            <w:r>
              <w:rPr>
                <w:rFonts w:ascii="Verdana" w:hAnsi="Verdana" w:cs="Calibri"/>
                <w:color w:val="000000"/>
                <w:sz w:val="18"/>
                <w:szCs w:val="18"/>
              </w:rPr>
              <w:t>CO0984</w:t>
            </w:r>
          </w:p>
        </w:tc>
        <w:tc>
          <w:tcPr>
            <w:tcW w:w="6096" w:type="dxa"/>
            <w:vAlign w:val="bottom"/>
          </w:tcPr>
          <w:p w14:paraId="30CB9153" w14:textId="77777777" w:rsidR="004610DE" w:rsidRDefault="004610DE" w:rsidP="004610DE">
            <w:pPr>
              <w:rPr>
                <w:rFonts w:ascii="Verdana" w:hAnsi="Verdana" w:cs="Calibri"/>
                <w:color w:val="000000"/>
                <w:sz w:val="18"/>
                <w:szCs w:val="18"/>
              </w:rPr>
            </w:pPr>
            <w:r>
              <w:rPr>
                <w:rFonts w:ascii="Verdana" w:hAnsi="Verdana" w:cs="Calibri"/>
                <w:color w:val="000000"/>
                <w:sz w:val="18"/>
                <w:szCs w:val="18"/>
              </w:rPr>
              <w:t>Ambulant – kwaliteitsstatuut sectie II Arts - specialist, psychiater als regiebehandelaar noodzakelijk conform LKS Behandeling 120 minuten</w:t>
            </w:r>
          </w:p>
          <w:p w14:paraId="19E6DA3C" w14:textId="557CD386" w:rsidR="004610DE" w:rsidRPr="004610DE" w:rsidRDefault="004610DE" w:rsidP="004610DE"/>
        </w:tc>
        <w:tc>
          <w:tcPr>
            <w:tcW w:w="1559" w:type="dxa"/>
            <w:vAlign w:val="center"/>
          </w:tcPr>
          <w:p w14:paraId="15242999" w14:textId="444FAC83" w:rsidR="004610DE" w:rsidRPr="004610DE" w:rsidRDefault="004610DE" w:rsidP="00E763EF">
            <w:r>
              <w:rPr>
                <w:rFonts w:ascii="Verdana" w:hAnsi="Verdana" w:cs="Calibri"/>
                <w:color w:val="000000"/>
                <w:sz w:val="18"/>
                <w:szCs w:val="18"/>
              </w:rPr>
              <w:t xml:space="preserve"> 554,56 </w:t>
            </w:r>
          </w:p>
        </w:tc>
      </w:tr>
      <w:tr w:rsidR="00E763EF" w:rsidRPr="004610DE" w14:paraId="48761E6B" w14:textId="77777777" w:rsidTr="00E763EF">
        <w:tc>
          <w:tcPr>
            <w:tcW w:w="1129" w:type="dxa"/>
            <w:vAlign w:val="center"/>
          </w:tcPr>
          <w:p w14:paraId="166758BB" w14:textId="0751FC28" w:rsidR="00E763EF" w:rsidRDefault="00E763EF" w:rsidP="00E763EF">
            <w:pPr>
              <w:rPr>
                <w:rFonts w:ascii="Verdana" w:hAnsi="Verdana" w:cs="Calibri"/>
                <w:color w:val="000000"/>
                <w:sz w:val="18"/>
                <w:szCs w:val="18"/>
              </w:rPr>
            </w:pPr>
            <w:r>
              <w:rPr>
                <w:rFonts w:ascii="Verdana" w:hAnsi="Verdana" w:cs="Calibri"/>
                <w:color w:val="000000"/>
                <w:sz w:val="18"/>
                <w:szCs w:val="18"/>
              </w:rPr>
              <w:t>OV0007</w:t>
            </w:r>
          </w:p>
        </w:tc>
        <w:tc>
          <w:tcPr>
            <w:tcW w:w="6096" w:type="dxa"/>
            <w:vAlign w:val="center"/>
          </w:tcPr>
          <w:p w14:paraId="63DB14B7" w14:textId="77777777" w:rsidR="00E763EF" w:rsidRDefault="00E763EF" w:rsidP="00E763EF">
            <w:pPr>
              <w:rPr>
                <w:rFonts w:ascii="Verdana" w:hAnsi="Verdana" w:cs="Calibri"/>
                <w:color w:val="000000"/>
                <w:sz w:val="18"/>
                <w:szCs w:val="18"/>
              </w:rPr>
            </w:pPr>
            <w:r>
              <w:rPr>
                <w:rFonts w:ascii="Verdana" w:hAnsi="Verdana" w:cs="Calibri"/>
                <w:color w:val="000000"/>
                <w:sz w:val="18"/>
                <w:szCs w:val="18"/>
              </w:rPr>
              <w:t>Intercollegiaal overleg kort Setting ambulant kwaliteitsstatuut sectie II</w:t>
            </w:r>
          </w:p>
          <w:p w14:paraId="15C3C3D8" w14:textId="7753C5E0" w:rsidR="00E763EF" w:rsidRDefault="00E763EF" w:rsidP="00E763EF">
            <w:pPr>
              <w:rPr>
                <w:rFonts w:ascii="Verdana" w:hAnsi="Verdana" w:cs="Calibri"/>
                <w:color w:val="000000"/>
                <w:sz w:val="18"/>
                <w:szCs w:val="18"/>
              </w:rPr>
            </w:pPr>
          </w:p>
        </w:tc>
        <w:tc>
          <w:tcPr>
            <w:tcW w:w="1559" w:type="dxa"/>
            <w:vAlign w:val="center"/>
          </w:tcPr>
          <w:p w14:paraId="123CFB01" w14:textId="531E499D" w:rsidR="00E763EF" w:rsidRDefault="00E763EF" w:rsidP="00E763EF">
            <w:pPr>
              <w:rPr>
                <w:rFonts w:ascii="Verdana" w:hAnsi="Verdana" w:cs="Calibri"/>
                <w:color w:val="000000"/>
                <w:sz w:val="18"/>
                <w:szCs w:val="18"/>
              </w:rPr>
            </w:pPr>
            <w:r>
              <w:rPr>
                <w:rFonts w:ascii="Verdana" w:hAnsi="Verdana" w:cs="Calibri"/>
                <w:color w:val="000000"/>
                <w:sz w:val="18"/>
                <w:szCs w:val="18"/>
              </w:rPr>
              <w:t xml:space="preserve"> 23,58 </w:t>
            </w:r>
          </w:p>
        </w:tc>
      </w:tr>
      <w:tr w:rsidR="00E763EF" w:rsidRPr="004610DE" w14:paraId="08490ADF" w14:textId="77777777" w:rsidTr="00E763EF">
        <w:tc>
          <w:tcPr>
            <w:tcW w:w="1129" w:type="dxa"/>
            <w:vAlign w:val="center"/>
          </w:tcPr>
          <w:p w14:paraId="2E4FC102" w14:textId="6F4349FE" w:rsidR="00E763EF" w:rsidRDefault="00E763EF" w:rsidP="00E763EF">
            <w:pPr>
              <w:rPr>
                <w:rFonts w:ascii="Verdana" w:hAnsi="Verdana" w:cs="Calibri"/>
                <w:color w:val="000000"/>
                <w:sz w:val="18"/>
                <w:szCs w:val="18"/>
              </w:rPr>
            </w:pPr>
            <w:r>
              <w:rPr>
                <w:rFonts w:ascii="Verdana" w:hAnsi="Verdana" w:cs="Calibri"/>
                <w:color w:val="000000"/>
                <w:sz w:val="18"/>
                <w:szCs w:val="18"/>
              </w:rPr>
              <w:t>OV0008</w:t>
            </w:r>
          </w:p>
        </w:tc>
        <w:tc>
          <w:tcPr>
            <w:tcW w:w="6096" w:type="dxa"/>
            <w:vAlign w:val="center"/>
          </w:tcPr>
          <w:p w14:paraId="04F9310D" w14:textId="77777777" w:rsidR="00E763EF" w:rsidRDefault="00E763EF" w:rsidP="00E763EF">
            <w:pPr>
              <w:rPr>
                <w:rFonts w:ascii="Verdana" w:hAnsi="Verdana" w:cs="Calibri"/>
                <w:color w:val="000000"/>
                <w:sz w:val="18"/>
                <w:szCs w:val="18"/>
              </w:rPr>
            </w:pPr>
            <w:r>
              <w:rPr>
                <w:rFonts w:ascii="Verdana" w:hAnsi="Verdana" w:cs="Calibri"/>
                <w:color w:val="000000"/>
                <w:sz w:val="18"/>
                <w:szCs w:val="18"/>
              </w:rPr>
              <w:t>Intercollegiaal overleg lang Setting ambulant kwaliteitsstatuut sectie II</w:t>
            </w:r>
          </w:p>
          <w:p w14:paraId="44AC2D89" w14:textId="66B69183" w:rsidR="00E763EF" w:rsidRDefault="00E763EF" w:rsidP="00E763EF">
            <w:pPr>
              <w:rPr>
                <w:rFonts w:ascii="Verdana" w:hAnsi="Verdana" w:cs="Calibri"/>
                <w:color w:val="000000"/>
                <w:sz w:val="18"/>
                <w:szCs w:val="18"/>
              </w:rPr>
            </w:pPr>
          </w:p>
        </w:tc>
        <w:tc>
          <w:tcPr>
            <w:tcW w:w="1559" w:type="dxa"/>
            <w:vAlign w:val="center"/>
          </w:tcPr>
          <w:p w14:paraId="1C5BC95F" w14:textId="4BFB00A0" w:rsidR="00E763EF" w:rsidRDefault="00E763EF" w:rsidP="00E763EF">
            <w:pPr>
              <w:rPr>
                <w:rFonts w:ascii="Verdana" w:hAnsi="Verdana" w:cs="Calibri"/>
                <w:color w:val="000000"/>
                <w:sz w:val="18"/>
                <w:szCs w:val="18"/>
              </w:rPr>
            </w:pPr>
            <w:r>
              <w:rPr>
                <w:rFonts w:ascii="Verdana" w:hAnsi="Verdana" w:cs="Calibri"/>
                <w:color w:val="000000"/>
                <w:sz w:val="18"/>
                <w:szCs w:val="18"/>
              </w:rPr>
              <w:t xml:space="preserve"> 71,88 </w:t>
            </w:r>
          </w:p>
        </w:tc>
      </w:tr>
    </w:tbl>
    <w:p w14:paraId="407EA4F5" w14:textId="77777777" w:rsidR="004610DE" w:rsidRPr="003C251D" w:rsidRDefault="004610DE" w:rsidP="003C251D"/>
    <w:sectPr w:rsidR="004610DE" w:rsidRPr="003C251D">
      <w:headerReference w:type="default" r:id="rId17"/>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B77F7" w14:textId="77777777" w:rsidR="001D17BC" w:rsidRDefault="001D17BC" w:rsidP="00C56151">
      <w:pPr>
        <w:spacing w:after="0" w:line="240" w:lineRule="auto"/>
      </w:pPr>
      <w:r>
        <w:separator/>
      </w:r>
    </w:p>
  </w:endnote>
  <w:endnote w:type="continuationSeparator" w:id="0">
    <w:p w14:paraId="4FC01EF5" w14:textId="77777777" w:rsidR="001D17BC" w:rsidRDefault="001D17BC" w:rsidP="00C561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0C303" w14:textId="2DB6DC6B" w:rsidR="00C56151" w:rsidRDefault="00C56151">
    <w:pPr>
      <w:pStyle w:val="Voettekst"/>
    </w:pPr>
    <w:r>
      <w:t>Aan deze informatie kunnen geen rechten worden ontleend, informeer je altijd zelf op de betreffende websites. IQwise, 21-12-2022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BDC3E" w14:textId="77777777" w:rsidR="001D17BC" w:rsidRDefault="001D17BC" w:rsidP="00C56151">
      <w:pPr>
        <w:spacing w:after="0" w:line="240" w:lineRule="auto"/>
      </w:pPr>
      <w:r>
        <w:separator/>
      </w:r>
    </w:p>
  </w:footnote>
  <w:footnote w:type="continuationSeparator" w:id="0">
    <w:p w14:paraId="7C023B78" w14:textId="77777777" w:rsidR="001D17BC" w:rsidRDefault="001D17BC" w:rsidP="00C561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E0070" w14:textId="6F3D600A" w:rsidR="00C56151" w:rsidRDefault="00C56151">
    <w:pPr>
      <w:pStyle w:val="Koptekst"/>
    </w:pPr>
    <w:r>
      <w:rPr>
        <w:b/>
        <w:bCs/>
        <w:noProof/>
      </w:rPr>
      <w:drawing>
        <wp:anchor distT="0" distB="0" distL="114300" distR="114300" simplePos="0" relativeHeight="251659264" behindDoc="1" locked="0" layoutInCell="1" allowOverlap="1" wp14:anchorId="209A61B6" wp14:editId="0E1DCEEE">
          <wp:simplePos x="0" y="0"/>
          <wp:positionH relativeFrom="column">
            <wp:posOffset>3932555</wp:posOffset>
          </wp:positionH>
          <wp:positionV relativeFrom="paragraph">
            <wp:posOffset>-436880</wp:posOffset>
          </wp:positionV>
          <wp:extent cx="2708910" cy="857250"/>
          <wp:effectExtent l="0" t="0" r="0" b="0"/>
          <wp:wrapThrough wrapText="bothSides">
            <wp:wrapPolygon edited="0">
              <wp:start x="0" y="0"/>
              <wp:lineTo x="0" y="21120"/>
              <wp:lineTo x="21418" y="21120"/>
              <wp:lineTo x="21418" y="0"/>
              <wp:lineTo x="0" y="0"/>
            </wp:wrapPolygon>
          </wp:wrapThrough>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rotWithShape="1">
                  <a:blip r:embed="rId1" cstate="print">
                    <a:extLst>
                      <a:ext uri="{28A0092B-C50C-407E-A947-70E740481C1C}">
                        <a14:useLocalDpi xmlns:a14="http://schemas.microsoft.com/office/drawing/2010/main" val="0"/>
                      </a:ext>
                    </a:extLst>
                  </a:blip>
                  <a:srcRect b="15625"/>
                  <a:stretch/>
                </pic:blipFill>
                <pic:spPr bwMode="auto">
                  <a:xfrm>
                    <a:off x="0" y="0"/>
                    <a:ext cx="2708910" cy="8572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51D"/>
    <w:rsid w:val="00013FF5"/>
    <w:rsid w:val="00033387"/>
    <w:rsid w:val="0005689F"/>
    <w:rsid w:val="001D17BC"/>
    <w:rsid w:val="001F5941"/>
    <w:rsid w:val="0029630C"/>
    <w:rsid w:val="002B1101"/>
    <w:rsid w:val="002D09D9"/>
    <w:rsid w:val="00385A1A"/>
    <w:rsid w:val="003C251D"/>
    <w:rsid w:val="003F3C37"/>
    <w:rsid w:val="004610DE"/>
    <w:rsid w:val="00466D85"/>
    <w:rsid w:val="004B30E4"/>
    <w:rsid w:val="00534972"/>
    <w:rsid w:val="006875FA"/>
    <w:rsid w:val="00767A4E"/>
    <w:rsid w:val="007D6DD3"/>
    <w:rsid w:val="008541F4"/>
    <w:rsid w:val="00B0119E"/>
    <w:rsid w:val="00BA2C22"/>
    <w:rsid w:val="00BA4C01"/>
    <w:rsid w:val="00BF73E7"/>
    <w:rsid w:val="00C01034"/>
    <w:rsid w:val="00C56151"/>
    <w:rsid w:val="00C912B1"/>
    <w:rsid w:val="00E2362C"/>
    <w:rsid w:val="00E763EF"/>
    <w:rsid w:val="00F43825"/>
    <w:rsid w:val="00FB42D7"/>
    <w:rsid w:val="00FD48E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023928"/>
  <w15:chartTrackingRefBased/>
  <w15:docId w15:val="{8FABE484-7267-4229-9B8F-67BD9E648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C251D"/>
    <w:rPr>
      <w:color w:val="0563C1" w:themeColor="hyperlink"/>
      <w:u w:val="single"/>
    </w:rPr>
  </w:style>
  <w:style w:type="character" w:styleId="Onopgelostemelding">
    <w:name w:val="Unresolved Mention"/>
    <w:basedOn w:val="Standaardalinea-lettertype"/>
    <w:uiPriority w:val="99"/>
    <w:semiHidden/>
    <w:unhideWhenUsed/>
    <w:rsid w:val="003C251D"/>
    <w:rPr>
      <w:color w:val="605E5C"/>
      <w:shd w:val="clear" w:color="auto" w:fill="E1DFDD"/>
    </w:rPr>
  </w:style>
  <w:style w:type="character" w:styleId="GevolgdeHyperlink">
    <w:name w:val="FollowedHyperlink"/>
    <w:basedOn w:val="Standaardalinea-lettertype"/>
    <w:uiPriority w:val="99"/>
    <w:semiHidden/>
    <w:unhideWhenUsed/>
    <w:rsid w:val="003C251D"/>
    <w:rPr>
      <w:color w:val="954F72" w:themeColor="followedHyperlink"/>
      <w:u w:val="single"/>
    </w:rPr>
  </w:style>
  <w:style w:type="table" w:styleId="Tabelraster">
    <w:name w:val="Table Grid"/>
    <w:basedOn w:val="Standaardtabel"/>
    <w:uiPriority w:val="39"/>
    <w:rsid w:val="00FB42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C5615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56151"/>
  </w:style>
  <w:style w:type="paragraph" w:styleId="Voettekst">
    <w:name w:val="footer"/>
    <w:basedOn w:val="Standaard"/>
    <w:link w:val="VoettekstChar"/>
    <w:uiPriority w:val="99"/>
    <w:unhideWhenUsed/>
    <w:rsid w:val="00C5615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56151"/>
  </w:style>
  <w:style w:type="paragraph" w:styleId="Lijstalinea">
    <w:name w:val="List Paragraph"/>
    <w:basedOn w:val="Standaard"/>
    <w:uiPriority w:val="34"/>
    <w:qFormat/>
    <w:rsid w:val="00767A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97524">
      <w:bodyDiv w:val="1"/>
      <w:marLeft w:val="0"/>
      <w:marRight w:val="0"/>
      <w:marTop w:val="0"/>
      <w:marBottom w:val="0"/>
      <w:divBdr>
        <w:top w:val="none" w:sz="0" w:space="0" w:color="auto"/>
        <w:left w:val="none" w:sz="0" w:space="0" w:color="auto"/>
        <w:bottom w:val="none" w:sz="0" w:space="0" w:color="auto"/>
        <w:right w:val="none" w:sz="0" w:space="0" w:color="auto"/>
      </w:divBdr>
    </w:div>
    <w:div w:id="462621920">
      <w:bodyDiv w:val="1"/>
      <w:marLeft w:val="0"/>
      <w:marRight w:val="0"/>
      <w:marTop w:val="0"/>
      <w:marBottom w:val="0"/>
      <w:divBdr>
        <w:top w:val="none" w:sz="0" w:space="0" w:color="auto"/>
        <w:left w:val="none" w:sz="0" w:space="0" w:color="auto"/>
        <w:bottom w:val="none" w:sz="0" w:space="0" w:color="auto"/>
        <w:right w:val="none" w:sz="0" w:space="0" w:color="auto"/>
      </w:divBdr>
    </w:div>
    <w:div w:id="1722248017">
      <w:bodyDiv w:val="1"/>
      <w:marLeft w:val="0"/>
      <w:marRight w:val="0"/>
      <w:marTop w:val="0"/>
      <w:marBottom w:val="0"/>
      <w:divBdr>
        <w:top w:val="none" w:sz="0" w:space="0" w:color="auto"/>
        <w:left w:val="none" w:sz="0" w:space="0" w:color="auto"/>
        <w:bottom w:val="none" w:sz="0" w:space="0" w:color="auto"/>
        <w:right w:val="none" w:sz="0" w:space="0" w:color="auto"/>
      </w:divBdr>
    </w:div>
    <w:div w:id="1867910505">
      <w:bodyDiv w:val="1"/>
      <w:marLeft w:val="0"/>
      <w:marRight w:val="0"/>
      <w:marTop w:val="0"/>
      <w:marBottom w:val="0"/>
      <w:divBdr>
        <w:top w:val="none" w:sz="0" w:space="0" w:color="auto"/>
        <w:left w:val="none" w:sz="0" w:space="0" w:color="auto"/>
        <w:bottom w:val="none" w:sz="0" w:space="0" w:color="auto"/>
        <w:right w:val="none" w:sz="0" w:space="0" w:color="auto"/>
      </w:divBdr>
    </w:div>
    <w:div w:id="208479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c.overheid.nl/nza/doc/PUC_724624_22/" TargetMode="External"/><Relationship Id="rId13" Type="http://schemas.openxmlformats.org/officeDocument/2006/relationships/hyperlink" Target="https://www.kifid.nl/" TargetMode="External"/><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lvvp.info/wp-content/uploads/2022/12/Position-paper-NZa-t.b.v.-rondetafelgesprek-Vrije-Artsenkeuze-d.d.-5-december-2022.pdf" TargetMode="External"/><Relationship Id="rId12" Type="http://schemas.openxmlformats.org/officeDocument/2006/relationships/hyperlink" Target="https://zoek.officielebekendmakingen.nl/stcrt-2016-68896.pdf"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s://puc.overheid.nl/nza/doc/PUC_724624_22/"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consumentenbond.nl/zorgverzekering/vergoedingspercentages-niet-gecontracteerde-zorg" TargetMode="External"/><Relationship Id="rId11" Type="http://schemas.openxmlformats.org/officeDocument/2006/relationships/hyperlink" Target="https://www.knmp.nl/sites/default/files/2022-12/A3%20baliekaart%20tabel%20Zorgverzekeraars%20def%20versie%2015-12.pdf" TargetMode="External"/><Relationship Id="rId5" Type="http://schemas.openxmlformats.org/officeDocument/2006/relationships/endnotes" Target="endnotes.xml"/><Relationship Id="rId15" Type="http://schemas.openxmlformats.org/officeDocument/2006/relationships/hyperlink" Target="https://autoriteitpersoonsgegevens.nl/nl/nieuws/ap-opvragen-verwijsbrief-verzekerde-met-privacyverklaring-mag-niet" TargetMode="External"/><Relationship Id="rId10" Type="http://schemas.openxmlformats.org/officeDocument/2006/relationships/hyperlink" Target="https://www.nvvp.net/website/nieuws/2022/gezamenlijke-position-paper-rondetafelgesprek-vrije-artsenkeuze"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zorgprestatiemodel.nl" TargetMode="External"/><Relationship Id="rId14" Type="http://schemas.openxmlformats.org/officeDocument/2006/relationships/hyperlink" Target="https://puc.overheid.nl/nza/doc/PUC_716114_22/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4499</TotalTime>
  <Pages>5</Pages>
  <Words>2158</Words>
  <Characters>11870</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Roelfsema</dc:creator>
  <cp:keywords/>
  <dc:description/>
  <cp:lastModifiedBy>Esther Roelfsema</cp:lastModifiedBy>
  <cp:revision>16</cp:revision>
  <dcterms:created xsi:type="dcterms:W3CDTF">2022-12-19T15:47:00Z</dcterms:created>
  <dcterms:modified xsi:type="dcterms:W3CDTF">2022-12-22T19:26:00Z</dcterms:modified>
</cp:coreProperties>
</file>